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B7F" w:rsidRPr="00762E6E" w:rsidRDefault="00B473B8" w:rsidP="00F72129">
      <w:pPr>
        <w:jc w:val="both"/>
        <w:rPr>
          <w:rFonts w:ascii="Times New Roman" w:hAnsi="Times New Roman" w:cs="Times New Roman"/>
          <w:b/>
          <w:color w:val="222222"/>
          <w:lang w:val="en-US"/>
        </w:rPr>
      </w:pPr>
      <w:r w:rsidRPr="00762E6E">
        <w:rPr>
          <w:rFonts w:ascii="Times New Roman" w:hAnsi="Times New Roman" w:cs="Times New Roman"/>
          <w:b/>
          <w:color w:val="222222"/>
          <w:lang w:val="en-US"/>
        </w:rPr>
        <w:t xml:space="preserve">La </w:t>
      </w:r>
    </w:p>
    <w:p w:rsidR="009C6B7F" w:rsidRPr="00762E6E" w:rsidRDefault="009C6B7F" w:rsidP="00F72129">
      <w:pPr>
        <w:jc w:val="both"/>
        <w:rPr>
          <w:rFonts w:ascii="Times New Roman" w:hAnsi="Times New Roman" w:cs="Times New Roman"/>
          <w:color w:val="000000" w:themeColor="text1"/>
          <w:lang w:val="en-US"/>
        </w:rPr>
      </w:pPr>
      <w:r w:rsidRPr="00762E6E">
        <w:rPr>
          <w:rFonts w:ascii="Times New Roman" w:hAnsi="Times New Roman" w:cs="Times New Roman"/>
          <w:noProof/>
          <w:color w:val="000000" w:themeColor="text1"/>
          <w:lang w:eastAsia="fr-FR"/>
        </w:rPr>
        <w:drawing>
          <wp:anchor distT="0" distB="0" distL="114300" distR="114300" simplePos="0" relativeHeight="251660288" behindDoc="0" locked="0" layoutInCell="1" allowOverlap="1" wp14:anchorId="2F84A67E" wp14:editId="0EF3E9FF">
            <wp:simplePos x="0" y="0"/>
            <wp:positionH relativeFrom="column">
              <wp:posOffset>4445</wp:posOffset>
            </wp:positionH>
            <wp:positionV relativeFrom="paragraph">
              <wp:posOffset>-342265</wp:posOffset>
            </wp:positionV>
            <wp:extent cx="899160" cy="917575"/>
            <wp:effectExtent l="0" t="0" r="0" b="0"/>
            <wp:wrapNone/>
            <wp:docPr id="4" name="Image 4" descr="Description : LogoI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LogoIER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917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2E6E">
        <w:rPr>
          <w:rFonts w:ascii="Times New Roman" w:hAnsi="Times New Roman" w:cs="Times New Roman"/>
          <w:noProof/>
          <w:color w:val="000000" w:themeColor="text1"/>
          <w:lang w:eastAsia="fr-FR"/>
        </w:rPr>
        <w:drawing>
          <wp:anchor distT="0" distB="0" distL="114300" distR="114300" simplePos="0" relativeHeight="251659264" behindDoc="0" locked="0" layoutInCell="1" allowOverlap="1" wp14:anchorId="3E649448" wp14:editId="33997449">
            <wp:simplePos x="0" y="0"/>
            <wp:positionH relativeFrom="column">
              <wp:posOffset>4899330</wp:posOffset>
            </wp:positionH>
            <wp:positionV relativeFrom="paragraph">
              <wp:posOffset>-280670</wp:posOffset>
            </wp:positionV>
            <wp:extent cx="904240" cy="850900"/>
            <wp:effectExtent l="0" t="0" r="0" b="6350"/>
            <wp:wrapNone/>
            <wp:docPr id="2" name="Image 2" descr="Description : ICRISA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 ICRISATlogo"/>
                    <pic:cNvPicPr>
                      <a:picLocks noChangeAspect="1" noChangeArrowheads="1"/>
                    </pic:cNvPicPr>
                  </pic:nvPicPr>
                  <pic:blipFill>
                    <a:blip r:embed="rId9">
                      <a:extLst>
                        <a:ext uri="{28A0092B-C50C-407E-A947-70E740481C1C}">
                          <a14:useLocalDpi xmlns:a14="http://schemas.microsoft.com/office/drawing/2010/main" val="0"/>
                        </a:ext>
                      </a:extLst>
                    </a:blip>
                    <a:srcRect l="14481"/>
                    <a:stretch>
                      <a:fillRect/>
                    </a:stretch>
                  </pic:blipFill>
                  <pic:spPr bwMode="auto">
                    <a:xfrm>
                      <a:off x="0" y="0"/>
                      <a:ext cx="904240" cy="850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6B7F" w:rsidRPr="00762E6E" w:rsidRDefault="009C6B7F" w:rsidP="00F72129">
      <w:pPr>
        <w:jc w:val="both"/>
        <w:rPr>
          <w:rFonts w:ascii="Times New Roman" w:hAnsi="Times New Roman" w:cs="Times New Roman"/>
          <w:color w:val="000000" w:themeColor="text1"/>
          <w:lang w:val="en-US"/>
        </w:rPr>
      </w:pPr>
    </w:p>
    <w:p w:rsidR="009C6B7F" w:rsidRPr="00762E6E" w:rsidRDefault="009C6B7F" w:rsidP="00F72129">
      <w:pPr>
        <w:jc w:val="both"/>
        <w:rPr>
          <w:rFonts w:ascii="Times New Roman" w:hAnsi="Times New Roman" w:cs="Times New Roman"/>
          <w:color w:val="000000" w:themeColor="text1"/>
          <w:lang w:val="en-US"/>
        </w:rPr>
      </w:pPr>
    </w:p>
    <w:p w:rsidR="009C6B7F" w:rsidRPr="00762E6E" w:rsidRDefault="009C6B7F" w:rsidP="00F72129">
      <w:pPr>
        <w:jc w:val="both"/>
        <w:rPr>
          <w:rFonts w:ascii="Times New Roman" w:hAnsi="Times New Roman" w:cs="Times New Roman"/>
          <w:color w:val="000000" w:themeColor="text1"/>
          <w:lang w:val="en-US"/>
        </w:rPr>
      </w:pPr>
    </w:p>
    <w:p w:rsidR="00AA28C6" w:rsidRPr="00762E6E" w:rsidRDefault="00AA28C6" w:rsidP="00F72129">
      <w:pPr>
        <w:jc w:val="both"/>
        <w:rPr>
          <w:rFonts w:ascii="Times New Roman" w:hAnsi="Times New Roman" w:cs="Times New Roman"/>
          <w:color w:val="000000" w:themeColor="text1"/>
          <w:lang w:val="en-US"/>
        </w:rPr>
      </w:pPr>
    </w:p>
    <w:p w:rsidR="009C6B7F" w:rsidRPr="00762E6E" w:rsidRDefault="009C6B7F" w:rsidP="00F72129">
      <w:pPr>
        <w:jc w:val="both"/>
        <w:rPr>
          <w:rFonts w:ascii="Times New Roman" w:hAnsi="Times New Roman" w:cs="Times New Roman"/>
          <w:color w:val="000000" w:themeColor="text1"/>
          <w:lang w:val="en-US"/>
        </w:rPr>
      </w:pPr>
    </w:p>
    <w:p w:rsidR="009C6B7F" w:rsidRPr="00A124B4" w:rsidRDefault="009C6B7F" w:rsidP="00F72129">
      <w:pPr>
        <w:jc w:val="both"/>
        <w:rPr>
          <w:rFonts w:ascii="Times New Roman" w:hAnsi="Times New Roman" w:cs="Times New Roman"/>
          <w:sz w:val="36"/>
          <w:szCs w:val="36"/>
          <w:lang w:val="en-US"/>
        </w:rPr>
      </w:pPr>
      <w:proofErr w:type="spellStart"/>
      <w:r w:rsidRPr="00A124B4">
        <w:rPr>
          <w:rFonts w:ascii="Times New Roman" w:hAnsi="Times New Roman" w:cs="Times New Roman"/>
          <w:b/>
          <w:sz w:val="36"/>
          <w:szCs w:val="36"/>
          <w:lang w:val="en-US"/>
        </w:rPr>
        <w:t>Projet</w:t>
      </w:r>
      <w:proofErr w:type="spellEnd"/>
      <w:r w:rsidRPr="00A124B4">
        <w:rPr>
          <w:rFonts w:ascii="Times New Roman" w:hAnsi="Times New Roman" w:cs="Times New Roman"/>
          <w:b/>
          <w:sz w:val="36"/>
          <w:szCs w:val="36"/>
          <w:lang w:val="en-US"/>
        </w:rPr>
        <w:t xml:space="preserve"> Africa Rising: Sustainable Intensification of Key Farming Systems in the </w:t>
      </w:r>
      <w:proofErr w:type="spellStart"/>
      <w:r w:rsidRPr="00A124B4">
        <w:rPr>
          <w:rFonts w:ascii="Times New Roman" w:hAnsi="Times New Roman" w:cs="Times New Roman"/>
          <w:b/>
          <w:sz w:val="36"/>
          <w:szCs w:val="36"/>
          <w:lang w:val="en-US"/>
        </w:rPr>
        <w:t>Sudano-Sahelian</w:t>
      </w:r>
      <w:proofErr w:type="spellEnd"/>
      <w:r w:rsidRPr="00A124B4">
        <w:rPr>
          <w:rFonts w:ascii="Times New Roman" w:hAnsi="Times New Roman" w:cs="Times New Roman"/>
          <w:b/>
          <w:sz w:val="36"/>
          <w:szCs w:val="36"/>
          <w:lang w:val="en-US"/>
        </w:rPr>
        <w:t xml:space="preserve"> Zone of West Africa</w:t>
      </w:r>
    </w:p>
    <w:p w:rsidR="009C6B7F" w:rsidRPr="00762E6E" w:rsidRDefault="009C6B7F" w:rsidP="00F72129">
      <w:pPr>
        <w:jc w:val="both"/>
        <w:rPr>
          <w:rFonts w:ascii="Times New Roman" w:hAnsi="Times New Roman" w:cs="Times New Roman"/>
          <w:b/>
          <w:color w:val="000000" w:themeColor="text1"/>
          <w:sz w:val="24"/>
          <w:szCs w:val="24"/>
          <w:u w:val="single"/>
          <w:lang w:val="en-US"/>
        </w:rPr>
      </w:pPr>
    </w:p>
    <w:p w:rsidR="006E78B9" w:rsidRPr="00762E6E" w:rsidRDefault="006E78B9" w:rsidP="00F72129">
      <w:pPr>
        <w:jc w:val="both"/>
        <w:rPr>
          <w:rFonts w:ascii="Times New Roman" w:hAnsi="Times New Roman" w:cs="Times New Roman"/>
          <w:b/>
          <w:color w:val="000000" w:themeColor="text1"/>
          <w:sz w:val="24"/>
          <w:szCs w:val="24"/>
          <w:u w:val="single"/>
          <w:lang w:val="en-US"/>
        </w:rPr>
      </w:pPr>
    </w:p>
    <w:p w:rsidR="009C6B7F" w:rsidRPr="00A124B4" w:rsidRDefault="002A591B" w:rsidP="00F72129">
      <w:pPr>
        <w:pBdr>
          <w:top w:val="single" w:sz="4" w:space="1" w:color="auto"/>
          <w:left w:val="single" w:sz="4" w:space="4" w:color="auto"/>
          <w:bottom w:val="single" w:sz="4" w:space="1" w:color="auto"/>
          <w:right w:val="single" w:sz="4" w:space="4" w:color="auto"/>
        </w:pBdr>
        <w:jc w:val="both"/>
        <w:rPr>
          <w:rFonts w:ascii="Times New Roman" w:hAnsi="Times New Roman" w:cs="Times New Roman"/>
          <w:b/>
          <w:color w:val="000000" w:themeColor="text1"/>
          <w:sz w:val="28"/>
          <w:szCs w:val="28"/>
          <w:u w:val="single"/>
        </w:rPr>
      </w:pPr>
      <w:r>
        <w:rPr>
          <w:rFonts w:ascii="Times New Roman" w:hAnsi="Times New Roman" w:cs="Times New Roman"/>
          <w:b/>
          <w:color w:val="000000" w:themeColor="text1"/>
          <w:sz w:val="28"/>
          <w:szCs w:val="28"/>
        </w:rPr>
        <w:t>Rapport : R</w:t>
      </w:r>
      <w:r w:rsidR="006E78B9" w:rsidRPr="00A124B4">
        <w:rPr>
          <w:rFonts w:ascii="Times New Roman" w:hAnsi="Times New Roman" w:cs="Times New Roman"/>
          <w:b/>
          <w:color w:val="000000" w:themeColor="text1"/>
          <w:sz w:val="28"/>
          <w:szCs w:val="28"/>
        </w:rPr>
        <w:t>evue</w:t>
      </w:r>
      <w:r w:rsidR="006E78B9" w:rsidRPr="00A124B4">
        <w:rPr>
          <w:rFonts w:ascii="Times New Roman" w:hAnsi="Times New Roman" w:cs="Times New Roman"/>
          <w:b/>
          <w:color w:val="222222"/>
          <w:sz w:val="28"/>
          <w:szCs w:val="28"/>
        </w:rPr>
        <w:t xml:space="preserve"> </w:t>
      </w:r>
      <w:r w:rsidR="006E78B9" w:rsidRPr="00A124B4">
        <w:rPr>
          <w:rFonts w:ascii="Times New Roman" w:hAnsi="Times New Roman" w:cs="Times New Roman"/>
          <w:b/>
          <w:color w:val="000000" w:themeColor="text1"/>
          <w:sz w:val="28"/>
          <w:szCs w:val="28"/>
        </w:rPr>
        <w:t>de littérature sur les politiques existantes et les arrangements institutionnels affectant l'accès aux facteurs (</w:t>
      </w:r>
      <w:r w:rsidR="00EE13D5" w:rsidRPr="00A124B4">
        <w:rPr>
          <w:rFonts w:ascii="Times New Roman" w:hAnsi="Times New Roman" w:cs="Times New Roman"/>
          <w:b/>
          <w:color w:val="000000" w:themeColor="text1"/>
          <w:sz w:val="28"/>
          <w:szCs w:val="28"/>
        </w:rPr>
        <w:t xml:space="preserve">terres, </w:t>
      </w:r>
      <w:r w:rsidR="006E78B9" w:rsidRPr="00A124B4">
        <w:rPr>
          <w:rFonts w:ascii="Times New Roman" w:hAnsi="Times New Roman" w:cs="Times New Roman"/>
          <w:b/>
          <w:color w:val="000000" w:themeColor="text1"/>
          <w:sz w:val="28"/>
          <w:szCs w:val="28"/>
        </w:rPr>
        <w:t xml:space="preserve">crédits, </w:t>
      </w:r>
      <w:r w:rsidR="00EE13D5" w:rsidRPr="00A124B4">
        <w:rPr>
          <w:rFonts w:ascii="Times New Roman" w:hAnsi="Times New Roman" w:cs="Times New Roman"/>
          <w:b/>
          <w:color w:val="000000" w:themeColor="text1"/>
          <w:sz w:val="28"/>
          <w:szCs w:val="28"/>
        </w:rPr>
        <w:t>intrants, équipements agricoles</w:t>
      </w:r>
      <w:r w:rsidR="006E78B9" w:rsidRPr="00A124B4">
        <w:rPr>
          <w:rFonts w:ascii="Times New Roman" w:hAnsi="Times New Roman" w:cs="Times New Roman"/>
          <w:b/>
          <w:color w:val="000000" w:themeColor="text1"/>
          <w:sz w:val="28"/>
          <w:szCs w:val="28"/>
        </w:rPr>
        <w:t>) et aux marchés de production</w:t>
      </w:r>
    </w:p>
    <w:p w:rsidR="009C6B7F" w:rsidRPr="00762E6E" w:rsidRDefault="009C6B7F" w:rsidP="00F72129">
      <w:pPr>
        <w:jc w:val="both"/>
        <w:rPr>
          <w:rFonts w:ascii="Times New Roman" w:hAnsi="Times New Roman" w:cs="Times New Roman"/>
          <w:b/>
          <w:color w:val="000000" w:themeColor="text1"/>
          <w:sz w:val="24"/>
          <w:szCs w:val="24"/>
          <w:u w:val="single"/>
        </w:rPr>
      </w:pPr>
    </w:p>
    <w:p w:rsidR="005A7748" w:rsidRPr="00762E6E" w:rsidRDefault="005A7748" w:rsidP="00F72129">
      <w:pPr>
        <w:jc w:val="both"/>
        <w:rPr>
          <w:rFonts w:ascii="Times New Roman" w:hAnsi="Times New Roman" w:cs="Times New Roman"/>
          <w:b/>
          <w:color w:val="000000" w:themeColor="text1"/>
          <w:sz w:val="24"/>
          <w:szCs w:val="24"/>
          <w:u w:val="single"/>
        </w:rPr>
      </w:pPr>
    </w:p>
    <w:p w:rsidR="005A7748" w:rsidRDefault="005A7748" w:rsidP="00F72129">
      <w:pPr>
        <w:jc w:val="both"/>
        <w:rPr>
          <w:rFonts w:ascii="Times New Roman" w:hAnsi="Times New Roman" w:cs="Times New Roman"/>
          <w:b/>
          <w:color w:val="000000" w:themeColor="text1"/>
          <w:sz w:val="24"/>
          <w:szCs w:val="24"/>
          <w:u w:val="single"/>
        </w:rPr>
      </w:pPr>
    </w:p>
    <w:p w:rsidR="00A124B4" w:rsidRPr="00762E6E" w:rsidRDefault="00A124B4" w:rsidP="00F72129">
      <w:pPr>
        <w:jc w:val="both"/>
        <w:rPr>
          <w:rFonts w:ascii="Times New Roman" w:hAnsi="Times New Roman" w:cs="Times New Roman"/>
          <w:b/>
          <w:color w:val="000000" w:themeColor="text1"/>
          <w:sz w:val="24"/>
          <w:szCs w:val="24"/>
          <w:u w:val="single"/>
        </w:rPr>
      </w:pPr>
    </w:p>
    <w:p w:rsidR="005A7748" w:rsidRPr="00762E6E" w:rsidRDefault="005A7748" w:rsidP="00F72129">
      <w:pPr>
        <w:jc w:val="both"/>
        <w:rPr>
          <w:rFonts w:ascii="Times New Roman" w:hAnsi="Times New Roman" w:cs="Times New Roman"/>
          <w:b/>
          <w:color w:val="000000" w:themeColor="text1"/>
          <w:sz w:val="24"/>
          <w:szCs w:val="24"/>
          <w:u w:val="single"/>
        </w:rPr>
      </w:pPr>
    </w:p>
    <w:p w:rsidR="005A7748" w:rsidRPr="00762E6E" w:rsidRDefault="005A7748" w:rsidP="00F72129">
      <w:pPr>
        <w:jc w:val="both"/>
        <w:rPr>
          <w:rFonts w:ascii="Times New Roman" w:hAnsi="Times New Roman" w:cs="Times New Roman"/>
          <w:b/>
          <w:color w:val="000000" w:themeColor="text1"/>
          <w:sz w:val="24"/>
          <w:szCs w:val="24"/>
          <w:u w:val="single"/>
        </w:rPr>
      </w:pPr>
    </w:p>
    <w:p w:rsidR="009C6B7F" w:rsidRPr="00762E6E" w:rsidRDefault="009C6B7F" w:rsidP="00F72129">
      <w:pPr>
        <w:jc w:val="both"/>
        <w:rPr>
          <w:rFonts w:ascii="Times New Roman" w:hAnsi="Times New Roman" w:cs="Times New Roman"/>
          <w:color w:val="000000" w:themeColor="text1"/>
          <w:sz w:val="24"/>
          <w:szCs w:val="24"/>
        </w:rPr>
      </w:pPr>
      <w:r w:rsidRPr="00762E6E">
        <w:rPr>
          <w:rFonts w:ascii="Times New Roman" w:hAnsi="Times New Roman" w:cs="Times New Roman"/>
          <w:b/>
          <w:color w:val="000000" w:themeColor="text1"/>
          <w:sz w:val="24"/>
          <w:szCs w:val="24"/>
          <w:u w:val="single"/>
        </w:rPr>
        <w:t>Zones d’intervention</w:t>
      </w:r>
      <w:r w:rsidRPr="00762E6E">
        <w:rPr>
          <w:rFonts w:ascii="Times New Roman" w:hAnsi="Times New Roman" w:cs="Times New Roman"/>
          <w:b/>
          <w:color w:val="000000" w:themeColor="text1"/>
          <w:sz w:val="24"/>
          <w:szCs w:val="24"/>
        </w:rPr>
        <w:t> :</w:t>
      </w:r>
      <w:r w:rsidRPr="00762E6E">
        <w:rPr>
          <w:rFonts w:ascii="Times New Roman" w:hAnsi="Times New Roman" w:cs="Times New Roman"/>
          <w:color w:val="000000" w:themeColor="text1"/>
          <w:sz w:val="24"/>
          <w:szCs w:val="24"/>
        </w:rPr>
        <w:t xml:space="preserve"> Bougouni  et Koutiala</w:t>
      </w:r>
      <w:r w:rsidR="006E78B9" w:rsidRPr="00762E6E">
        <w:rPr>
          <w:rFonts w:ascii="Times New Roman" w:hAnsi="Times New Roman" w:cs="Times New Roman"/>
          <w:color w:val="000000" w:themeColor="text1"/>
          <w:sz w:val="24"/>
          <w:szCs w:val="24"/>
        </w:rPr>
        <w:t xml:space="preserve"> dans la région de Sikasso</w:t>
      </w:r>
      <w:r w:rsidRPr="00762E6E">
        <w:rPr>
          <w:rFonts w:ascii="Times New Roman" w:hAnsi="Times New Roman" w:cs="Times New Roman"/>
          <w:color w:val="000000" w:themeColor="text1"/>
          <w:sz w:val="24"/>
          <w:szCs w:val="24"/>
        </w:rPr>
        <w:t>.</w:t>
      </w:r>
    </w:p>
    <w:p w:rsidR="009C6B7F" w:rsidRPr="00762E6E" w:rsidRDefault="009C6B7F" w:rsidP="00F72129">
      <w:pPr>
        <w:jc w:val="both"/>
        <w:rPr>
          <w:rFonts w:ascii="Times New Roman" w:hAnsi="Times New Roman" w:cs="Times New Roman"/>
          <w:color w:val="000000" w:themeColor="text1"/>
          <w:sz w:val="24"/>
          <w:szCs w:val="24"/>
        </w:rPr>
      </w:pPr>
    </w:p>
    <w:p w:rsidR="009C6B7F" w:rsidRPr="00762E6E" w:rsidRDefault="009C6B7F" w:rsidP="00F72129">
      <w:pPr>
        <w:jc w:val="both"/>
        <w:rPr>
          <w:rFonts w:ascii="Times New Roman" w:hAnsi="Times New Roman" w:cs="Times New Roman"/>
          <w:color w:val="000000" w:themeColor="text1"/>
          <w:sz w:val="24"/>
          <w:szCs w:val="24"/>
        </w:rPr>
      </w:pPr>
      <w:r w:rsidRPr="00762E6E">
        <w:rPr>
          <w:rFonts w:ascii="Times New Roman" w:hAnsi="Times New Roman" w:cs="Times New Roman"/>
          <w:b/>
          <w:color w:val="000000" w:themeColor="text1"/>
          <w:sz w:val="24"/>
          <w:szCs w:val="24"/>
          <w:u w:val="single"/>
        </w:rPr>
        <w:t>Partenariat :</w:t>
      </w:r>
      <w:r w:rsidRPr="00762E6E">
        <w:rPr>
          <w:rFonts w:ascii="Times New Roman" w:hAnsi="Times New Roman" w:cs="Times New Roman"/>
          <w:color w:val="000000" w:themeColor="text1"/>
          <w:sz w:val="24"/>
          <w:szCs w:val="24"/>
        </w:rPr>
        <w:t xml:space="preserve"> IER et ICRISAT.</w:t>
      </w:r>
    </w:p>
    <w:p w:rsidR="009C6B7F" w:rsidRPr="00762E6E" w:rsidRDefault="004B0DB7" w:rsidP="00F7212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Dr Ousmane SANOGO</w:t>
      </w:r>
    </w:p>
    <w:p w:rsidR="009C6B7F" w:rsidRPr="00762E6E" w:rsidRDefault="009B4906" w:rsidP="00F72129">
      <w:pPr>
        <w:ind w:left="7080"/>
        <w:jc w:val="both"/>
        <w:rPr>
          <w:rFonts w:ascii="Times New Roman" w:hAnsi="Times New Roman" w:cs="Times New Roman"/>
          <w:color w:val="000000" w:themeColor="text1"/>
          <w:sz w:val="24"/>
          <w:szCs w:val="24"/>
        </w:rPr>
      </w:pPr>
      <w:r w:rsidRPr="00762E6E">
        <w:rPr>
          <w:rFonts w:ascii="Times New Roman" w:hAnsi="Times New Roman" w:cs="Times New Roman"/>
          <w:color w:val="000000" w:themeColor="text1"/>
          <w:sz w:val="24"/>
          <w:szCs w:val="24"/>
        </w:rPr>
        <w:t>Décembre</w:t>
      </w:r>
      <w:r w:rsidR="009C6B7F" w:rsidRPr="00762E6E">
        <w:rPr>
          <w:rFonts w:ascii="Times New Roman" w:hAnsi="Times New Roman" w:cs="Times New Roman"/>
          <w:color w:val="000000" w:themeColor="text1"/>
          <w:sz w:val="24"/>
          <w:szCs w:val="24"/>
        </w:rPr>
        <w:t xml:space="preserve"> 201</w:t>
      </w:r>
      <w:r w:rsidR="006E78B9" w:rsidRPr="00762E6E">
        <w:rPr>
          <w:rFonts w:ascii="Times New Roman" w:hAnsi="Times New Roman" w:cs="Times New Roman"/>
          <w:color w:val="000000" w:themeColor="text1"/>
          <w:sz w:val="24"/>
          <w:szCs w:val="24"/>
        </w:rPr>
        <w:t>7</w:t>
      </w:r>
    </w:p>
    <w:p w:rsidR="009C6B7F" w:rsidRDefault="009C6B7F" w:rsidP="00F72129">
      <w:pPr>
        <w:jc w:val="both"/>
        <w:rPr>
          <w:rFonts w:ascii="Times New Roman" w:hAnsi="Times New Roman" w:cs="Times New Roman"/>
          <w:color w:val="000000" w:themeColor="text1"/>
          <w:sz w:val="24"/>
          <w:szCs w:val="24"/>
        </w:rPr>
      </w:pPr>
    </w:p>
    <w:p w:rsidR="004C5711" w:rsidRDefault="004C5711" w:rsidP="00F72129">
      <w:pPr>
        <w:jc w:val="both"/>
        <w:rPr>
          <w:rFonts w:ascii="Times New Roman" w:hAnsi="Times New Roman" w:cs="Times New Roman"/>
          <w:color w:val="000000" w:themeColor="text1"/>
          <w:sz w:val="24"/>
          <w:szCs w:val="24"/>
        </w:rPr>
      </w:pPr>
    </w:p>
    <w:p w:rsidR="004C5711" w:rsidRDefault="004C5711" w:rsidP="004C571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TABLE DES MATIERES</w:t>
      </w:r>
    </w:p>
    <w:p w:rsidR="00366470" w:rsidRPr="00366470" w:rsidRDefault="004C5711" w:rsidP="00366470">
      <w:pPr>
        <w:pStyle w:val="TM1"/>
        <w:tabs>
          <w:tab w:val="left" w:pos="440"/>
          <w:tab w:val="right" w:leader="dot" w:pos="9016"/>
        </w:tabs>
        <w:spacing w:line="240" w:lineRule="auto"/>
        <w:rPr>
          <w:rFonts w:ascii="Times New Roman" w:eastAsiaTheme="minorEastAsia" w:hAnsi="Times New Roman" w:cs="Times New Roman"/>
          <w:noProof/>
          <w:sz w:val="24"/>
          <w:szCs w:val="24"/>
          <w:lang w:eastAsia="fr-FR"/>
        </w:rPr>
      </w:pPr>
      <w:r w:rsidRPr="00366470">
        <w:rPr>
          <w:rFonts w:ascii="Times New Roman" w:hAnsi="Times New Roman" w:cs="Times New Roman"/>
          <w:color w:val="000000" w:themeColor="text1"/>
          <w:sz w:val="24"/>
          <w:szCs w:val="24"/>
        </w:rPr>
        <w:fldChar w:fldCharType="begin"/>
      </w:r>
      <w:r w:rsidRPr="00366470">
        <w:rPr>
          <w:rFonts w:ascii="Times New Roman" w:hAnsi="Times New Roman" w:cs="Times New Roman"/>
          <w:color w:val="000000" w:themeColor="text1"/>
          <w:sz w:val="24"/>
          <w:szCs w:val="24"/>
        </w:rPr>
        <w:instrText xml:space="preserve"> TOC \o "1-3" \h \z \u </w:instrText>
      </w:r>
      <w:r w:rsidRPr="00366470">
        <w:rPr>
          <w:rFonts w:ascii="Times New Roman" w:hAnsi="Times New Roman" w:cs="Times New Roman"/>
          <w:color w:val="000000" w:themeColor="text1"/>
          <w:sz w:val="24"/>
          <w:szCs w:val="24"/>
        </w:rPr>
        <w:fldChar w:fldCharType="separate"/>
      </w:r>
      <w:hyperlink w:anchor="_Toc505329011" w:history="1">
        <w:r w:rsidR="00366470" w:rsidRPr="00366470">
          <w:rPr>
            <w:rStyle w:val="Lienhypertexte"/>
            <w:rFonts w:ascii="Times New Roman" w:hAnsi="Times New Roman" w:cs="Times New Roman"/>
            <w:noProof/>
            <w:sz w:val="24"/>
            <w:szCs w:val="24"/>
          </w:rPr>
          <w:t>1.</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Introduction</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_Toc505329011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3</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1"/>
        <w:tabs>
          <w:tab w:val="left" w:pos="440"/>
          <w:tab w:val="right" w:leader="dot" w:pos="9016"/>
        </w:tabs>
        <w:spacing w:line="240" w:lineRule="auto"/>
        <w:rPr>
          <w:rFonts w:ascii="Times New Roman" w:eastAsiaTheme="minorEastAsia" w:hAnsi="Times New Roman" w:cs="Times New Roman"/>
          <w:noProof/>
          <w:sz w:val="24"/>
          <w:szCs w:val="24"/>
          <w:lang w:eastAsia="fr-FR"/>
        </w:rPr>
      </w:pPr>
      <w:hyperlink w:anchor="_Toc505329012" w:history="1">
        <w:r w:rsidR="00366470" w:rsidRPr="00366470">
          <w:rPr>
            <w:rStyle w:val="Lienhypertexte"/>
            <w:rFonts w:ascii="Times New Roman" w:hAnsi="Times New Roman" w:cs="Times New Roman"/>
            <w:noProof/>
            <w:sz w:val="24"/>
            <w:szCs w:val="24"/>
          </w:rPr>
          <w:t>2.</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Méthodologie</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_Toc505329012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3</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2"/>
        <w:rPr>
          <w:rFonts w:ascii="Times New Roman" w:eastAsiaTheme="minorEastAsia" w:hAnsi="Times New Roman" w:cs="Times New Roman"/>
          <w:noProof/>
          <w:sz w:val="24"/>
          <w:szCs w:val="24"/>
          <w:lang w:eastAsia="fr-FR"/>
        </w:rPr>
      </w:pPr>
      <w:hyperlink w:anchor="_Toc505329013" w:history="1">
        <w:r w:rsidR="00366470" w:rsidRPr="00366470">
          <w:rPr>
            <w:rStyle w:val="Lienhypertexte"/>
            <w:rFonts w:ascii="Times New Roman" w:hAnsi="Times New Roman" w:cs="Times New Roman"/>
            <w:noProof/>
            <w:sz w:val="24"/>
            <w:szCs w:val="24"/>
          </w:rPr>
          <w:t>2.1</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Revue documentaire</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_Toc505329013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3</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2"/>
        <w:rPr>
          <w:rFonts w:ascii="Times New Roman" w:eastAsiaTheme="minorEastAsia" w:hAnsi="Times New Roman" w:cs="Times New Roman"/>
          <w:noProof/>
          <w:sz w:val="24"/>
          <w:szCs w:val="24"/>
          <w:lang w:eastAsia="fr-FR"/>
        </w:rPr>
      </w:pPr>
      <w:hyperlink w:anchor="_Toc505329014" w:history="1">
        <w:r w:rsidR="00366470" w:rsidRPr="00366470">
          <w:rPr>
            <w:rStyle w:val="Lienhypertexte"/>
            <w:rFonts w:ascii="Times New Roman" w:hAnsi="Times New Roman" w:cs="Times New Roman"/>
            <w:noProof/>
            <w:sz w:val="24"/>
            <w:szCs w:val="24"/>
          </w:rPr>
          <w:t>2.2</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Enquête légère</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_Toc505329014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3</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2"/>
        <w:rPr>
          <w:rFonts w:ascii="Times New Roman" w:eastAsiaTheme="minorEastAsia" w:hAnsi="Times New Roman" w:cs="Times New Roman"/>
          <w:noProof/>
          <w:sz w:val="24"/>
          <w:szCs w:val="24"/>
          <w:lang w:eastAsia="fr-FR"/>
        </w:rPr>
      </w:pPr>
      <w:hyperlink w:anchor="_Toc505329015" w:history="1">
        <w:r w:rsidR="00366470" w:rsidRPr="00366470">
          <w:rPr>
            <w:rStyle w:val="Lienhypertexte"/>
            <w:rFonts w:ascii="Times New Roman" w:hAnsi="Times New Roman" w:cs="Times New Roman"/>
            <w:noProof/>
            <w:sz w:val="24"/>
            <w:szCs w:val="24"/>
          </w:rPr>
          <w:t>2.3</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Définition de quelques notions conceptuelles</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_Toc505329015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3</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1"/>
        <w:tabs>
          <w:tab w:val="left" w:pos="440"/>
          <w:tab w:val="right" w:leader="dot" w:pos="9016"/>
        </w:tabs>
        <w:spacing w:line="240" w:lineRule="auto"/>
        <w:rPr>
          <w:rFonts w:ascii="Times New Roman" w:eastAsiaTheme="minorEastAsia" w:hAnsi="Times New Roman" w:cs="Times New Roman"/>
          <w:noProof/>
          <w:sz w:val="24"/>
          <w:szCs w:val="24"/>
          <w:lang w:eastAsia="fr-FR"/>
        </w:rPr>
      </w:pPr>
      <w:hyperlink w:anchor="_Toc505329016" w:history="1">
        <w:r w:rsidR="00366470" w:rsidRPr="00366470">
          <w:rPr>
            <w:rStyle w:val="Lienhypertexte"/>
            <w:rFonts w:ascii="Times New Roman" w:hAnsi="Times New Roman" w:cs="Times New Roman"/>
            <w:noProof/>
            <w:sz w:val="24"/>
            <w:szCs w:val="24"/>
          </w:rPr>
          <w:t>3.</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Résultats</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_Toc505329016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4</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2"/>
        <w:rPr>
          <w:rFonts w:ascii="Times New Roman" w:eastAsiaTheme="minorEastAsia" w:hAnsi="Times New Roman" w:cs="Times New Roman"/>
          <w:noProof/>
          <w:sz w:val="24"/>
          <w:szCs w:val="24"/>
          <w:lang w:eastAsia="fr-FR"/>
        </w:rPr>
      </w:pPr>
      <w:hyperlink w:anchor="_Toc505329017" w:history="1">
        <w:r w:rsidR="00366470" w:rsidRPr="00366470">
          <w:rPr>
            <w:rStyle w:val="Lienhypertexte"/>
            <w:rFonts w:ascii="Times New Roman" w:hAnsi="Times New Roman" w:cs="Times New Roman"/>
            <w:noProof/>
            <w:sz w:val="24"/>
            <w:szCs w:val="24"/>
          </w:rPr>
          <w:t>3.1</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Politiques favorisant l’accès des femmes et des jeunes aux facteurs de production et aux marchés</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_Toc505329017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4</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2"/>
        <w:rPr>
          <w:rFonts w:ascii="Times New Roman" w:eastAsiaTheme="minorEastAsia" w:hAnsi="Times New Roman" w:cs="Times New Roman"/>
          <w:noProof/>
          <w:sz w:val="24"/>
          <w:szCs w:val="24"/>
          <w:lang w:eastAsia="fr-FR"/>
        </w:rPr>
      </w:pPr>
      <w:hyperlink w:anchor="_Toc505329018" w:history="1">
        <w:r w:rsidR="00366470" w:rsidRPr="00366470">
          <w:rPr>
            <w:rStyle w:val="Lienhypertexte"/>
            <w:rFonts w:ascii="Times New Roman" w:hAnsi="Times New Roman" w:cs="Times New Roman"/>
            <w:noProof/>
            <w:sz w:val="24"/>
            <w:szCs w:val="24"/>
          </w:rPr>
          <w:t>3.2</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Politiques entravant l’accès des femmes aux facteurs de production</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_Toc505329018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4</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3"/>
        <w:tabs>
          <w:tab w:val="left" w:pos="1320"/>
          <w:tab w:val="right" w:leader="dot" w:pos="9016"/>
        </w:tabs>
        <w:spacing w:line="240" w:lineRule="auto"/>
        <w:rPr>
          <w:rFonts w:ascii="Times New Roman" w:eastAsiaTheme="minorEastAsia" w:hAnsi="Times New Roman" w:cs="Times New Roman"/>
          <w:noProof/>
          <w:sz w:val="24"/>
          <w:szCs w:val="24"/>
          <w:lang w:eastAsia="fr-FR"/>
        </w:rPr>
      </w:pPr>
      <w:hyperlink w:anchor="_Toc505329019" w:history="1">
        <w:r w:rsidR="00366470" w:rsidRPr="00366470">
          <w:rPr>
            <w:rStyle w:val="Lienhypertexte"/>
            <w:rFonts w:ascii="Times New Roman" w:hAnsi="Times New Roman" w:cs="Times New Roman"/>
            <w:noProof/>
            <w:sz w:val="24"/>
            <w:szCs w:val="24"/>
          </w:rPr>
          <w:t>3.2.1</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Code de la famille du Mali</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_Toc505329019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4</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3"/>
        <w:tabs>
          <w:tab w:val="left" w:pos="1320"/>
          <w:tab w:val="right" w:leader="dot" w:pos="9016"/>
        </w:tabs>
        <w:spacing w:line="240" w:lineRule="auto"/>
        <w:rPr>
          <w:rFonts w:ascii="Times New Roman" w:eastAsiaTheme="minorEastAsia" w:hAnsi="Times New Roman" w:cs="Times New Roman"/>
          <w:noProof/>
          <w:sz w:val="24"/>
          <w:szCs w:val="24"/>
          <w:lang w:eastAsia="fr-FR"/>
        </w:rPr>
      </w:pPr>
      <w:hyperlink w:anchor="_Toc505329020" w:history="1">
        <w:r w:rsidR="00366470" w:rsidRPr="00366470">
          <w:rPr>
            <w:rStyle w:val="Lienhypertexte"/>
            <w:rFonts w:ascii="Times New Roman" w:hAnsi="Times New Roman" w:cs="Times New Roman"/>
            <w:noProof/>
            <w:sz w:val="24"/>
            <w:szCs w:val="24"/>
          </w:rPr>
          <w:t>3.2.2</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Poids de la tradition, des us et coutumes</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_Toc505329020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5</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3"/>
        <w:tabs>
          <w:tab w:val="left" w:pos="1320"/>
          <w:tab w:val="right" w:leader="dot" w:pos="9016"/>
        </w:tabs>
        <w:spacing w:line="240" w:lineRule="auto"/>
        <w:rPr>
          <w:rFonts w:ascii="Times New Roman" w:eastAsiaTheme="minorEastAsia" w:hAnsi="Times New Roman" w:cs="Times New Roman"/>
          <w:noProof/>
          <w:sz w:val="24"/>
          <w:szCs w:val="24"/>
          <w:lang w:eastAsia="fr-FR"/>
        </w:rPr>
      </w:pPr>
      <w:hyperlink w:anchor="_Toc505329021" w:history="1">
        <w:r w:rsidR="00366470" w:rsidRPr="00366470">
          <w:rPr>
            <w:rStyle w:val="Lienhypertexte"/>
            <w:rFonts w:ascii="Times New Roman" w:hAnsi="Times New Roman" w:cs="Times New Roman"/>
            <w:noProof/>
            <w:sz w:val="24"/>
            <w:szCs w:val="24"/>
          </w:rPr>
          <w:t>3.2.3</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Accès à la terre agricole (Code domanial et foncier du Mali, Ordonnance n°00-027 du 22 mars 2000)</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_Toc505329021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6</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2"/>
        <w:rPr>
          <w:rFonts w:ascii="Times New Roman" w:eastAsiaTheme="minorEastAsia" w:hAnsi="Times New Roman" w:cs="Times New Roman"/>
          <w:noProof/>
          <w:sz w:val="24"/>
          <w:szCs w:val="24"/>
          <w:lang w:eastAsia="fr-FR"/>
        </w:rPr>
      </w:pPr>
      <w:hyperlink w:anchor="_Toc505329022" w:history="1">
        <w:r w:rsidR="00366470" w:rsidRPr="00366470">
          <w:rPr>
            <w:rStyle w:val="Lienhypertexte"/>
            <w:rFonts w:ascii="Times New Roman" w:hAnsi="Times New Roman" w:cs="Times New Roman"/>
            <w:noProof/>
            <w:sz w:val="24"/>
            <w:szCs w:val="24"/>
          </w:rPr>
          <w:t>3.3</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Accès aux crédits</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_Toc505329022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6</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2"/>
        <w:rPr>
          <w:rFonts w:ascii="Times New Roman" w:eastAsiaTheme="minorEastAsia" w:hAnsi="Times New Roman" w:cs="Times New Roman"/>
          <w:noProof/>
          <w:sz w:val="24"/>
          <w:szCs w:val="24"/>
          <w:lang w:eastAsia="fr-FR"/>
        </w:rPr>
      </w:pPr>
      <w:hyperlink w:anchor="_Toc505329023" w:history="1">
        <w:r w:rsidR="00366470" w:rsidRPr="00366470">
          <w:rPr>
            <w:rStyle w:val="Lienhypertexte"/>
            <w:rFonts w:ascii="Times New Roman" w:hAnsi="Times New Roman" w:cs="Times New Roman"/>
            <w:noProof/>
            <w:sz w:val="24"/>
            <w:szCs w:val="24"/>
          </w:rPr>
          <w:t>3.4</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Accès aux intrants agricoles et aux équipements agricoles</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_Toc505329023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7</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2"/>
        <w:rPr>
          <w:rFonts w:ascii="Times New Roman" w:eastAsiaTheme="minorEastAsia" w:hAnsi="Times New Roman" w:cs="Times New Roman"/>
          <w:noProof/>
          <w:sz w:val="24"/>
          <w:szCs w:val="24"/>
          <w:lang w:eastAsia="fr-FR"/>
        </w:rPr>
      </w:pPr>
      <w:hyperlink w:anchor="_Toc505329024" w:history="1">
        <w:r w:rsidR="00366470" w:rsidRPr="00366470">
          <w:rPr>
            <w:rStyle w:val="Lienhypertexte"/>
            <w:rFonts w:ascii="Times New Roman" w:hAnsi="Times New Roman" w:cs="Times New Roman"/>
            <w:noProof/>
            <w:sz w:val="24"/>
            <w:szCs w:val="24"/>
          </w:rPr>
          <w:t>3.5</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Accès aux marchés</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_Toc505329024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8</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2"/>
        <w:rPr>
          <w:rFonts w:ascii="Times New Roman" w:eastAsiaTheme="minorEastAsia" w:hAnsi="Times New Roman" w:cs="Times New Roman"/>
          <w:noProof/>
          <w:sz w:val="24"/>
          <w:szCs w:val="24"/>
          <w:lang w:eastAsia="fr-FR"/>
        </w:rPr>
      </w:pPr>
      <w:hyperlink w:anchor="_Toc505329025" w:history="1">
        <w:r w:rsidR="00366470" w:rsidRPr="00366470">
          <w:rPr>
            <w:rStyle w:val="Lienhypertexte"/>
            <w:rFonts w:ascii="Times New Roman" w:hAnsi="Times New Roman" w:cs="Times New Roman"/>
            <w:noProof/>
            <w:sz w:val="24"/>
            <w:szCs w:val="24"/>
          </w:rPr>
          <w:t>3.6</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Point de vue des décideurs sur l’accès des femmes et des jeunes aux facteurs de production et aux marchés</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_Toc505329025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8</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3"/>
        <w:tabs>
          <w:tab w:val="left" w:pos="1320"/>
          <w:tab w:val="right" w:leader="dot" w:pos="9016"/>
        </w:tabs>
        <w:spacing w:line="240" w:lineRule="auto"/>
        <w:rPr>
          <w:rFonts w:ascii="Times New Roman" w:eastAsiaTheme="minorEastAsia" w:hAnsi="Times New Roman" w:cs="Times New Roman"/>
          <w:noProof/>
          <w:sz w:val="24"/>
          <w:szCs w:val="24"/>
          <w:lang w:eastAsia="fr-FR"/>
        </w:rPr>
      </w:pPr>
      <w:hyperlink w:anchor="_Toc505329026" w:history="1">
        <w:r w:rsidR="00366470" w:rsidRPr="00366470">
          <w:rPr>
            <w:rStyle w:val="Lienhypertexte"/>
            <w:rFonts w:ascii="Times New Roman" w:hAnsi="Times New Roman" w:cs="Times New Roman"/>
            <w:noProof/>
            <w:sz w:val="24"/>
            <w:szCs w:val="24"/>
          </w:rPr>
          <w:t>3.6.1</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 xml:space="preserve">Politiques ou arrangements institutionnels </w:t>
        </w:r>
        <w:r w:rsidR="00366470" w:rsidRPr="00366470">
          <w:rPr>
            <w:rStyle w:val="Lienhypertexte"/>
            <w:rFonts w:ascii="Times New Roman" w:hAnsi="Times New Roman" w:cs="Times New Roman"/>
            <w:noProof/>
            <w:sz w:val="24"/>
            <w:szCs w:val="24"/>
            <w:lang w:val="fr-ML"/>
          </w:rPr>
          <w:t>constituant</w:t>
        </w:r>
        <w:r w:rsidR="00366470" w:rsidRPr="00366470">
          <w:rPr>
            <w:rStyle w:val="Lienhypertexte"/>
            <w:rFonts w:ascii="Times New Roman" w:hAnsi="Times New Roman" w:cs="Times New Roman"/>
            <w:noProof/>
            <w:sz w:val="24"/>
            <w:szCs w:val="24"/>
          </w:rPr>
          <w:t xml:space="preserve"> des obstacles pour l’accès aux   facteurs de production et aux marchés</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_Toc505329026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8</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3"/>
        <w:tabs>
          <w:tab w:val="left" w:pos="1320"/>
          <w:tab w:val="right" w:leader="dot" w:pos="9016"/>
        </w:tabs>
        <w:spacing w:line="240" w:lineRule="auto"/>
        <w:rPr>
          <w:rFonts w:ascii="Times New Roman" w:eastAsiaTheme="minorEastAsia" w:hAnsi="Times New Roman" w:cs="Times New Roman"/>
          <w:noProof/>
          <w:sz w:val="24"/>
          <w:szCs w:val="24"/>
          <w:lang w:eastAsia="fr-FR"/>
        </w:rPr>
      </w:pPr>
      <w:hyperlink w:anchor="_Toc505329027" w:history="1">
        <w:r w:rsidR="00366470" w:rsidRPr="00366470">
          <w:rPr>
            <w:rStyle w:val="Lienhypertexte"/>
            <w:rFonts w:ascii="Times New Roman" w:hAnsi="Times New Roman" w:cs="Times New Roman"/>
            <w:noProof/>
            <w:sz w:val="24"/>
            <w:szCs w:val="24"/>
          </w:rPr>
          <w:t>3.6.2</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Segments de la chaîne de valeur où les politiques et  arrangements institutionnels assurent l'accès aux facteurs et aux marchés de production</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_Toc505329027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9</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1"/>
        <w:tabs>
          <w:tab w:val="left" w:pos="440"/>
          <w:tab w:val="right" w:leader="dot" w:pos="9016"/>
        </w:tabs>
        <w:spacing w:line="240" w:lineRule="auto"/>
        <w:rPr>
          <w:rFonts w:ascii="Times New Roman" w:eastAsiaTheme="minorEastAsia" w:hAnsi="Times New Roman" w:cs="Times New Roman"/>
          <w:noProof/>
          <w:sz w:val="24"/>
          <w:szCs w:val="24"/>
          <w:lang w:eastAsia="fr-FR"/>
        </w:rPr>
      </w:pPr>
      <w:hyperlink w:anchor="_Toc505329028" w:history="1">
        <w:r w:rsidR="00366470" w:rsidRPr="00366470">
          <w:rPr>
            <w:rStyle w:val="Lienhypertexte"/>
            <w:rFonts w:ascii="Times New Roman" w:hAnsi="Times New Roman" w:cs="Times New Roman"/>
            <w:noProof/>
            <w:sz w:val="24"/>
            <w:szCs w:val="24"/>
          </w:rPr>
          <w:t>4.</w:t>
        </w:r>
        <w:r w:rsidR="00366470" w:rsidRPr="00366470">
          <w:rPr>
            <w:rFonts w:ascii="Times New Roman" w:eastAsiaTheme="minorEastAsia" w:hAnsi="Times New Roman" w:cs="Times New Roman"/>
            <w:noProof/>
            <w:sz w:val="24"/>
            <w:szCs w:val="24"/>
            <w:lang w:eastAsia="fr-FR"/>
          </w:rPr>
          <w:tab/>
        </w:r>
        <w:r w:rsidR="00366470" w:rsidRPr="00366470">
          <w:rPr>
            <w:rStyle w:val="Lienhypertexte"/>
            <w:rFonts w:ascii="Times New Roman" w:hAnsi="Times New Roman" w:cs="Times New Roman"/>
            <w:noProof/>
            <w:sz w:val="24"/>
            <w:szCs w:val="24"/>
          </w:rPr>
          <w:t>Conclusion et recommandations</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_Toc505329028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10</w:t>
        </w:r>
        <w:r w:rsidR="00366470" w:rsidRPr="00366470">
          <w:rPr>
            <w:rFonts w:ascii="Times New Roman" w:hAnsi="Times New Roman" w:cs="Times New Roman"/>
            <w:noProof/>
            <w:webHidden/>
            <w:sz w:val="24"/>
            <w:szCs w:val="24"/>
          </w:rPr>
          <w:fldChar w:fldCharType="end"/>
        </w:r>
      </w:hyperlink>
    </w:p>
    <w:p w:rsidR="00366470" w:rsidRPr="00366470" w:rsidRDefault="00306C5B" w:rsidP="00366470">
      <w:pPr>
        <w:pStyle w:val="TM1"/>
        <w:tabs>
          <w:tab w:val="right" w:leader="dot" w:pos="9016"/>
        </w:tabs>
        <w:spacing w:line="240" w:lineRule="auto"/>
        <w:rPr>
          <w:rFonts w:ascii="Times New Roman" w:eastAsiaTheme="minorEastAsia" w:hAnsi="Times New Roman" w:cs="Times New Roman"/>
          <w:noProof/>
          <w:sz w:val="24"/>
          <w:szCs w:val="24"/>
          <w:lang w:eastAsia="fr-FR"/>
        </w:rPr>
      </w:pPr>
      <w:hyperlink w:anchor="_Toc505329029" w:history="1">
        <w:r w:rsidR="00366470" w:rsidRPr="00366470">
          <w:rPr>
            <w:rStyle w:val="Lienhypertexte"/>
            <w:rFonts w:ascii="Times New Roman" w:hAnsi="Times New Roman" w:cs="Times New Roman"/>
            <w:noProof/>
            <w:sz w:val="24"/>
            <w:szCs w:val="24"/>
          </w:rPr>
          <w:t>Bibliographie</w:t>
        </w:r>
        <w:r w:rsidR="00366470" w:rsidRPr="00366470">
          <w:rPr>
            <w:rFonts w:ascii="Times New Roman" w:hAnsi="Times New Roman" w:cs="Times New Roman"/>
            <w:noProof/>
            <w:webHidden/>
            <w:sz w:val="24"/>
            <w:szCs w:val="24"/>
          </w:rPr>
          <w:tab/>
        </w:r>
        <w:r w:rsidR="00366470" w:rsidRPr="00366470">
          <w:rPr>
            <w:rFonts w:ascii="Times New Roman" w:hAnsi="Times New Roman" w:cs="Times New Roman"/>
            <w:noProof/>
            <w:webHidden/>
            <w:sz w:val="24"/>
            <w:szCs w:val="24"/>
          </w:rPr>
          <w:fldChar w:fldCharType="begin"/>
        </w:r>
        <w:r w:rsidR="00366470" w:rsidRPr="00366470">
          <w:rPr>
            <w:rFonts w:ascii="Times New Roman" w:hAnsi="Times New Roman" w:cs="Times New Roman"/>
            <w:noProof/>
            <w:webHidden/>
            <w:sz w:val="24"/>
            <w:szCs w:val="24"/>
          </w:rPr>
          <w:instrText xml:space="preserve"> PAGEREF _Toc505329029 \h </w:instrText>
        </w:r>
        <w:r w:rsidR="00366470" w:rsidRPr="00366470">
          <w:rPr>
            <w:rFonts w:ascii="Times New Roman" w:hAnsi="Times New Roman" w:cs="Times New Roman"/>
            <w:noProof/>
            <w:webHidden/>
            <w:sz w:val="24"/>
            <w:szCs w:val="24"/>
          </w:rPr>
        </w:r>
        <w:r w:rsidR="00366470" w:rsidRPr="00366470">
          <w:rPr>
            <w:rFonts w:ascii="Times New Roman" w:hAnsi="Times New Roman" w:cs="Times New Roman"/>
            <w:noProof/>
            <w:webHidden/>
            <w:sz w:val="24"/>
            <w:szCs w:val="24"/>
          </w:rPr>
          <w:fldChar w:fldCharType="separate"/>
        </w:r>
        <w:r w:rsidR="006743AE">
          <w:rPr>
            <w:rFonts w:ascii="Times New Roman" w:hAnsi="Times New Roman" w:cs="Times New Roman"/>
            <w:noProof/>
            <w:webHidden/>
            <w:sz w:val="24"/>
            <w:szCs w:val="24"/>
          </w:rPr>
          <w:t>12</w:t>
        </w:r>
        <w:r w:rsidR="00366470" w:rsidRPr="00366470">
          <w:rPr>
            <w:rFonts w:ascii="Times New Roman" w:hAnsi="Times New Roman" w:cs="Times New Roman"/>
            <w:noProof/>
            <w:webHidden/>
            <w:sz w:val="24"/>
            <w:szCs w:val="24"/>
          </w:rPr>
          <w:fldChar w:fldCharType="end"/>
        </w:r>
      </w:hyperlink>
    </w:p>
    <w:p w:rsidR="00A124B4" w:rsidRPr="00366470" w:rsidRDefault="004C5711" w:rsidP="00366470">
      <w:pPr>
        <w:spacing w:line="240" w:lineRule="auto"/>
        <w:jc w:val="both"/>
        <w:rPr>
          <w:rFonts w:ascii="Times New Roman" w:hAnsi="Times New Roman" w:cs="Times New Roman"/>
          <w:color w:val="000000" w:themeColor="text1"/>
          <w:sz w:val="24"/>
          <w:szCs w:val="24"/>
        </w:rPr>
      </w:pPr>
      <w:r w:rsidRPr="00366470">
        <w:rPr>
          <w:rFonts w:ascii="Times New Roman" w:hAnsi="Times New Roman" w:cs="Times New Roman"/>
          <w:color w:val="000000" w:themeColor="text1"/>
          <w:sz w:val="24"/>
          <w:szCs w:val="24"/>
        </w:rPr>
        <w:fldChar w:fldCharType="end"/>
      </w:r>
    </w:p>
    <w:p w:rsidR="004C5711" w:rsidRPr="00366470" w:rsidRDefault="004C5711" w:rsidP="00366470">
      <w:pPr>
        <w:spacing w:line="240" w:lineRule="auto"/>
        <w:jc w:val="both"/>
        <w:rPr>
          <w:rFonts w:ascii="Times New Roman" w:hAnsi="Times New Roman" w:cs="Times New Roman"/>
          <w:color w:val="000000" w:themeColor="text1"/>
          <w:sz w:val="24"/>
          <w:szCs w:val="24"/>
        </w:rPr>
      </w:pPr>
    </w:p>
    <w:p w:rsidR="004C5711" w:rsidRPr="00366470" w:rsidRDefault="004C5711" w:rsidP="00366470">
      <w:pPr>
        <w:spacing w:line="240" w:lineRule="auto"/>
        <w:jc w:val="both"/>
        <w:rPr>
          <w:rFonts w:ascii="Times New Roman" w:hAnsi="Times New Roman" w:cs="Times New Roman"/>
          <w:color w:val="000000" w:themeColor="text1"/>
          <w:sz w:val="24"/>
          <w:szCs w:val="24"/>
        </w:rPr>
      </w:pPr>
    </w:p>
    <w:p w:rsidR="004C5711" w:rsidRPr="008238B6" w:rsidRDefault="004C5711" w:rsidP="008238B6">
      <w:pPr>
        <w:spacing w:line="240" w:lineRule="auto"/>
        <w:jc w:val="both"/>
        <w:rPr>
          <w:rFonts w:ascii="Times New Roman" w:hAnsi="Times New Roman" w:cs="Times New Roman"/>
          <w:color w:val="000000" w:themeColor="text1"/>
          <w:sz w:val="24"/>
          <w:szCs w:val="24"/>
        </w:rPr>
      </w:pPr>
    </w:p>
    <w:p w:rsidR="004C5711" w:rsidRPr="008238B6" w:rsidRDefault="004C5711" w:rsidP="008238B6">
      <w:pPr>
        <w:spacing w:line="240" w:lineRule="auto"/>
        <w:jc w:val="both"/>
        <w:rPr>
          <w:rFonts w:ascii="Times New Roman" w:hAnsi="Times New Roman" w:cs="Times New Roman"/>
          <w:color w:val="000000" w:themeColor="text1"/>
          <w:sz w:val="24"/>
          <w:szCs w:val="24"/>
        </w:rPr>
      </w:pPr>
    </w:p>
    <w:p w:rsidR="004C5711" w:rsidRPr="008238B6" w:rsidRDefault="004C5711" w:rsidP="008238B6">
      <w:pPr>
        <w:spacing w:line="240" w:lineRule="auto"/>
        <w:jc w:val="both"/>
        <w:rPr>
          <w:rFonts w:ascii="Times New Roman" w:hAnsi="Times New Roman" w:cs="Times New Roman"/>
          <w:color w:val="000000" w:themeColor="text1"/>
          <w:sz w:val="24"/>
          <w:szCs w:val="24"/>
        </w:rPr>
      </w:pPr>
    </w:p>
    <w:p w:rsidR="004C5711" w:rsidRPr="008238B6" w:rsidRDefault="004C5711" w:rsidP="008238B6">
      <w:pPr>
        <w:spacing w:line="240" w:lineRule="auto"/>
        <w:jc w:val="both"/>
        <w:rPr>
          <w:rFonts w:ascii="Times New Roman" w:hAnsi="Times New Roman" w:cs="Times New Roman"/>
          <w:color w:val="000000" w:themeColor="text1"/>
          <w:sz w:val="24"/>
          <w:szCs w:val="24"/>
        </w:rPr>
      </w:pPr>
    </w:p>
    <w:p w:rsidR="004C5711" w:rsidRPr="008238B6" w:rsidRDefault="004C5711" w:rsidP="004C5711">
      <w:pPr>
        <w:spacing w:line="240" w:lineRule="auto"/>
        <w:jc w:val="both"/>
        <w:rPr>
          <w:rFonts w:ascii="Times New Roman" w:hAnsi="Times New Roman" w:cs="Times New Roman"/>
          <w:color w:val="000000" w:themeColor="text1"/>
          <w:sz w:val="24"/>
          <w:szCs w:val="24"/>
        </w:rPr>
      </w:pPr>
    </w:p>
    <w:p w:rsidR="004C5711" w:rsidRPr="008238B6" w:rsidRDefault="004C5711" w:rsidP="004C5711">
      <w:pPr>
        <w:spacing w:line="240" w:lineRule="auto"/>
        <w:jc w:val="both"/>
        <w:rPr>
          <w:rFonts w:ascii="Times New Roman" w:hAnsi="Times New Roman" w:cs="Times New Roman"/>
          <w:color w:val="000000" w:themeColor="text1"/>
          <w:sz w:val="24"/>
          <w:szCs w:val="24"/>
        </w:rPr>
      </w:pPr>
    </w:p>
    <w:p w:rsidR="004C5711" w:rsidRPr="008238B6" w:rsidRDefault="004C5711" w:rsidP="004C5711">
      <w:pPr>
        <w:spacing w:line="240" w:lineRule="auto"/>
        <w:jc w:val="both"/>
        <w:rPr>
          <w:rFonts w:ascii="Times New Roman" w:hAnsi="Times New Roman" w:cs="Times New Roman"/>
          <w:color w:val="000000" w:themeColor="text1"/>
          <w:sz w:val="24"/>
          <w:szCs w:val="24"/>
        </w:rPr>
      </w:pPr>
    </w:p>
    <w:p w:rsidR="009C6B7F" w:rsidRPr="004C5711" w:rsidRDefault="00803DF8" w:rsidP="004C5711">
      <w:pPr>
        <w:pStyle w:val="Titre1"/>
        <w:rPr>
          <w:rFonts w:ascii="Times New Roman" w:hAnsi="Times New Roman" w:cs="Times New Roman"/>
          <w:b/>
          <w:color w:val="000000" w:themeColor="text1"/>
          <w:sz w:val="24"/>
          <w:szCs w:val="24"/>
        </w:rPr>
      </w:pPr>
      <w:bookmarkStart w:id="0" w:name="_Toc505329011"/>
      <w:r w:rsidRPr="004C5711">
        <w:rPr>
          <w:rFonts w:ascii="Times New Roman" w:hAnsi="Times New Roman" w:cs="Times New Roman"/>
          <w:b/>
          <w:color w:val="000000" w:themeColor="text1"/>
          <w:sz w:val="24"/>
          <w:szCs w:val="24"/>
        </w:rPr>
        <w:lastRenderedPageBreak/>
        <w:t>1.</w:t>
      </w:r>
      <w:r w:rsidRPr="004C5711">
        <w:rPr>
          <w:rFonts w:ascii="Times New Roman" w:hAnsi="Times New Roman" w:cs="Times New Roman"/>
          <w:b/>
          <w:color w:val="000000" w:themeColor="text1"/>
          <w:sz w:val="24"/>
          <w:szCs w:val="24"/>
        </w:rPr>
        <w:tab/>
      </w:r>
      <w:r w:rsidR="004D57C6" w:rsidRPr="004C5711">
        <w:rPr>
          <w:rFonts w:ascii="Times New Roman" w:hAnsi="Times New Roman" w:cs="Times New Roman"/>
          <w:b/>
          <w:color w:val="000000" w:themeColor="text1"/>
          <w:sz w:val="24"/>
          <w:szCs w:val="24"/>
        </w:rPr>
        <w:t>Introduction</w:t>
      </w:r>
      <w:bookmarkEnd w:id="0"/>
    </w:p>
    <w:p w:rsidR="007D166B" w:rsidRPr="00762E6E" w:rsidRDefault="00A304A3" w:rsidP="00F72129">
      <w:pPr>
        <w:jc w:val="both"/>
        <w:rPr>
          <w:rFonts w:ascii="Times New Roman" w:hAnsi="Times New Roman" w:cs="Times New Roman"/>
          <w:color w:val="000000" w:themeColor="text1"/>
          <w:sz w:val="24"/>
          <w:szCs w:val="24"/>
        </w:rPr>
      </w:pPr>
      <w:r w:rsidRPr="00762E6E">
        <w:rPr>
          <w:rFonts w:ascii="Times New Roman" w:hAnsi="Times New Roman" w:cs="Times New Roman"/>
          <w:color w:val="000000" w:themeColor="text1"/>
          <w:sz w:val="24"/>
          <w:szCs w:val="24"/>
        </w:rPr>
        <w:t>La disponibilité des intrants et équipements agricoles ainsi que la maîtrise de leurs prix, participe</w:t>
      </w:r>
      <w:r w:rsidR="00906B55" w:rsidRPr="00762E6E">
        <w:rPr>
          <w:rFonts w:ascii="Times New Roman" w:hAnsi="Times New Roman" w:cs="Times New Roman"/>
          <w:color w:val="000000" w:themeColor="text1"/>
          <w:sz w:val="24"/>
          <w:szCs w:val="24"/>
        </w:rPr>
        <w:t>nt</w:t>
      </w:r>
      <w:r w:rsidRPr="00762E6E">
        <w:rPr>
          <w:rFonts w:ascii="Times New Roman" w:hAnsi="Times New Roman" w:cs="Times New Roman"/>
          <w:color w:val="000000" w:themeColor="text1"/>
          <w:sz w:val="24"/>
          <w:szCs w:val="24"/>
        </w:rPr>
        <w:t xml:space="preserve"> à la sécurisation de la production et de la productivité</w:t>
      </w:r>
      <w:r w:rsidR="00906B55" w:rsidRPr="00762E6E">
        <w:rPr>
          <w:rFonts w:ascii="Times New Roman" w:hAnsi="Times New Roman" w:cs="Times New Roman"/>
          <w:color w:val="000000" w:themeColor="text1"/>
          <w:sz w:val="24"/>
          <w:szCs w:val="24"/>
        </w:rPr>
        <w:t xml:space="preserve"> agricole</w:t>
      </w:r>
      <w:r w:rsidRPr="00762E6E">
        <w:rPr>
          <w:rFonts w:ascii="Times New Roman" w:hAnsi="Times New Roman" w:cs="Times New Roman"/>
          <w:color w:val="000000" w:themeColor="text1"/>
          <w:sz w:val="24"/>
          <w:szCs w:val="24"/>
        </w:rPr>
        <w:t>. En effet</w:t>
      </w:r>
      <w:r w:rsidR="00DE51E4" w:rsidRPr="00762E6E">
        <w:rPr>
          <w:rFonts w:ascii="Times New Roman" w:hAnsi="Times New Roman" w:cs="Times New Roman"/>
          <w:color w:val="000000" w:themeColor="text1"/>
          <w:sz w:val="24"/>
          <w:szCs w:val="24"/>
        </w:rPr>
        <w:t xml:space="preserve"> la terre,</w:t>
      </w:r>
      <w:r w:rsidRPr="00762E6E">
        <w:rPr>
          <w:rFonts w:ascii="Times New Roman" w:hAnsi="Times New Roman" w:cs="Times New Roman"/>
          <w:color w:val="000000" w:themeColor="text1"/>
          <w:sz w:val="24"/>
          <w:szCs w:val="24"/>
        </w:rPr>
        <w:t xml:space="preserve"> les intrants et </w:t>
      </w:r>
      <w:r w:rsidR="00DE51E4" w:rsidRPr="00762E6E">
        <w:rPr>
          <w:rFonts w:ascii="Times New Roman" w:hAnsi="Times New Roman" w:cs="Times New Roman"/>
          <w:color w:val="000000" w:themeColor="text1"/>
          <w:sz w:val="24"/>
          <w:szCs w:val="24"/>
        </w:rPr>
        <w:t xml:space="preserve">le </w:t>
      </w:r>
      <w:r w:rsidRPr="00762E6E">
        <w:rPr>
          <w:rFonts w:ascii="Times New Roman" w:hAnsi="Times New Roman" w:cs="Times New Roman"/>
          <w:color w:val="000000" w:themeColor="text1"/>
          <w:sz w:val="24"/>
          <w:szCs w:val="24"/>
        </w:rPr>
        <w:t>matériel agricole constituent les principaux facteurs de production qui permettent d’atteindre un accroissement durable de la production et de la productivité agricole</w:t>
      </w:r>
      <w:r w:rsidR="007D166B" w:rsidRPr="00762E6E">
        <w:rPr>
          <w:rFonts w:ascii="Times New Roman" w:hAnsi="Times New Roman" w:cs="Times New Roman"/>
          <w:color w:val="000000" w:themeColor="text1"/>
          <w:sz w:val="24"/>
          <w:szCs w:val="24"/>
        </w:rPr>
        <w:t>. Mais malheureusement, ces intrants si nécessaire à l’accroissement de la production ne sont pas accessibles à tous notamment aux couches vulnérables comme les femmes et les jeunes.</w:t>
      </w:r>
      <w:r w:rsidR="00D90AF9" w:rsidRPr="00762E6E">
        <w:rPr>
          <w:rFonts w:ascii="Times New Roman" w:hAnsi="Times New Roman" w:cs="Times New Roman"/>
          <w:color w:val="000000" w:themeColor="text1"/>
          <w:sz w:val="24"/>
          <w:szCs w:val="24"/>
        </w:rPr>
        <w:t xml:space="preserve"> </w:t>
      </w:r>
      <w:r w:rsidR="00200092" w:rsidRPr="00762E6E">
        <w:rPr>
          <w:rFonts w:ascii="Times New Roman" w:hAnsi="Times New Roman" w:cs="Times New Roman"/>
          <w:color w:val="000000" w:themeColor="text1"/>
          <w:sz w:val="24"/>
          <w:szCs w:val="24"/>
        </w:rPr>
        <w:t xml:space="preserve">Il </w:t>
      </w:r>
      <w:r w:rsidR="00D90AF9" w:rsidRPr="00762E6E">
        <w:rPr>
          <w:rFonts w:ascii="Times New Roman" w:hAnsi="Times New Roman" w:cs="Times New Roman"/>
          <w:color w:val="000000" w:themeColor="text1"/>
          <w:sz w:val="24"/>
          <w:szCs w:val="24"/>
        </w:rPr>
        <w:t xml:space="preserve">a </w:t>
      </w:r>
      <w:r w:rsidR="00200092" w:rsidRPr="00762E6E">
        <w:rPr>
          <w:rFonts w:ascii="Times New Roman" w:hAnsi="Times New Roman" w:cs="Times New Roman"/>
          <w:color w:val="000000" w:themeColor="text1"/>
          <w:sz w:val="24"/>
          <w:szCs w:val="24"/>
        </w:rPr>
        <w:t xml:space="preserve">été </w:t>
      </w:r>
      <w:r w:rsidR="00D90AF9" w:rsidRPr="00762E6E">
        <w:rPr>
          <w:rFonts w:ascii="Times New Roman" w:hAnsi="Times New Roman" w:cs="Times New Roman"/>
          <w:color w:val="000000" w:themeColor="text1"/>
          <w:sz w:val="24"/>
          <w:szCs w:val="24"/>
        </w:rPr>
        <w:t>relevé, entre autres, l’accès marginal des femmes à la terre, le faible accès des femmes à la formation et à l’information, le manque d’accès direct des femmes aux intrants et au crédit, la sous-représentation des femmes dans les associations cotonnières, leur marginalisation dans les organes de décision et de coordination et l’accès limité aux marchés (</w:t>
      </w:r>
      <w:r w:rsidR="00200092" w:rsidRPr="00762E6E">
        <w:rPr>
          <w:rFonts w:ascii="Times New Roman" w:hAnsi="Times New Roman" w:cs="Times New Roman"/>
          <w:color w:val="000000" w:themeColor="text1"/>
          <w:sz w:val="24"/>
          <w:szCs w:val="24"/>
        </w:rPr>
        <w:t>FAO</w:t>
      </w:r>
      <w:r w:rsidR="00E2718E" w:rsidRPr="00762E6E">
        <w:rPr>
          <w:rFonts w:ascii="Times New Roman" w:hAnsi="Times New Roman" w:cs="Times New Roman"/>
          <w:color w:val="000000" w:themeColor="text1"/>
          <w:sz w:val="24"/>
          <w:szCs w:val="24"/>
        </w:rPr>
        <w:t>, 1981</w:t>
      </w:r>
      <w:r w:rsidR="00D90AF9" w:rsidRPr="00762E6E">
        <w:rPr>
          <w:rFonts w:ascii="Times New Roman" w:hAnsi="Times New Roman" w:cs="Times New Roman"/>
          <w:color w:val="000000" w:themeColor="text1"/>
          <w:sz w:val="24"/>
          <w:szCs w:val="24"/>
        </w:rPr>
        <w:t>).</w:t>
      </w:r>
    </w:p>
    <w:p w:rsidR="00D90AF9" w:rsidRDefault="00D90AF9" w:rsidP="00F72129">
      <w:pPr>
        <w:jc w:val="both"/>
        <w:rPr>
          <w:rFonts w:ascii="Times New Roman" w:hAnsi="Times New Roman" w:cs="Times New Roman"/>
          <w:color w:val="000000" w:themeColor="text1"/>
          <w:sz w:val="24"/>
          <w:szCs w:val="24"/>
        </w:rPr>
      </w:pPr>
      <w:r w:rsidRPr="00762E6E">
        <w:rPr>
          <w:rFonts w:ascii="Times New Roman" w:hAnsi="Times New Roman" w:cs="Times New Roman"/>
          <w:color w:val="000000" w:themeColor="text1"/>
          <w:sz w:val="24"/>
          <w:szCs w:val="24"/>
        </w:rPr>
        <w:t>L’accès à la terre est un préalable fonda</w:t>
      </w:r>
      <w:r w:rsidR="00DE51E4" w:rsidRPr="00762E6E">
        <w:rPr>
          <w:rFonts w:ascii="Times New Roman" w:hAnsi="Times New Roman" w:cs="Times New Roman"/>
          <w:color w:val="000000" w:themeColor="text1"/>
          <w:sz w:val="24"/>
          <w:szCs w:val="24"/>
        </w:rPr>
        <w:t>mental à l’activité agricole et</w:t>
      </w:r>
      <w:r w:rsidRPr="00762E6E">
        <w:rPr>
          <w:rFonts w:ascii="Times New Roman" w:hAnsi="Times New Roman" w:cs="Times New Roman"/>
          <w:color w:val="000000" w:themeColor="text1"/>
          <w:sz w:val="24"/>
          <w:szCs w:val="24"/>
        </w:rPr>
        <w:t xml:space="preserve"> dans bien des régions, son contrôle est synonyme de richesse, de statut et de pouvoir. En renforçant l’accès des femmes à la terre (actifs fonciers) et leur maîtrise sur ces derniers, on contribue de façon importante à conforter leur statut et leur influence au sein des ménages et des communautés (</w:t>
      </w:r>
      <w:r w:rsidR="00D0037B" w:rsidRPr="00762E6E">
        <w:rPr>
          <w:rFonts w:ascii="Times New Roman" w:hAnsi="Times New Roman" w:cs="Times New Roman"/>
          <w:color w:val="000000" w:themeColor="text1"/>
          <w:sz w:val="24"/>
          <w:szCs w:val="24"/>
        </w:rPr>
        <w:t>PFA, 2014</w:t>
      </w:r>
      <w:r w:rsidRPr="00762E6E">
        <w:rPr>
          <w:rFonts w:ascii="Times New Roman" w:hAnsi="Times New Roman" w:cs="Times New Roman"/>
          <w:color w:val="000000" w:themeColor="text1"/>
          <w:sz w:val="24"/>
          <w:szCs w:val="24"/>
        </w:rPr>
        <w:t>).</w:t>
      </w:r>
      <w:r w:rsidR="00C3492D">
        <w:rPr>
          <w:rFonts w:ascii="Times New Roman" w:hAnsi="Times New Roman" w:cs="Times New Roman"/>
          <w:color w:val="000000" w:themeColor="text1"/>
          <w:sz w:val="24"/>
          <w:szCs w:val="24"/>
        </w:rPr>
        <w:t xml:space="preserve"> Cette étude a été initiée pour contribuer à l’amélioration de l’accès des femmes et des jeunes aux facteurs de production et aux marchés.</w:t>
      </w:r>
    </w:p>
    <w:p w:rsidR="00EA33FE" w:rsidRPr="004C5711" w:rsidRDefault="00803DF8" w:rsidP="004C5711">
      <w:pPr>
        <w:pStyle w:val="Titre1"/>
        <w:rPr>
          <w:rFonts w:ascii="Times New Roman" w:hAnsi="Times New Roman" w:cs="Times New Roman"/>
          <w:b/>
          <w:color w:val="000000" w:themeColor="text1"/>
          <w:sz w:val="24"/>
          <w:szCs w:val="24"/>
        </w:rPr>
      </w:pPr>
      <w:bookmarkStart w:id="1" w:name="_Toc505329012"/>
      <w:r w:rsidRPr="004C5711">
        <w:rPr>
          <w:rFonts w:ascii="Times New Roman" w:hAnsi="Times New Roman" w:cs="Times New Roman"/>
          <w:b/>
          <w:color w:val="000000" w:themeColor="text1"/>
          <w:sz w:val="24"/>
          <w:szCs w:val="24"/>
        </w:rPr>
        <w:t>2.</w:t>
      </w:r>
      <w:r w:rsidRPr="004C5711">
        <w:rPr>
          <w:rFonts w:ascii="Times New Roman" w:hAnsi="Times New Roman" w:cs="Times New Roman"/>
          <w:b/>
          <w:color w:val="000000" w:themeColor="text1"/>
          <w:sz w:val="24"/>
          <w:szCs w:val="24"/>
        </w:rPr>
        <w:tab/>
      </w:r>
      <w:r w:rsidR="00EA33FE" w:rsidRPr="004C5711">
        <w:rPr>
          <w:rFonts w:ascii="Times New Roman" w:hAnsi="Times New Roman" w:cs="Times New Roman"/>
          <w:b/>
          <w:color w:val="000000" w:themeColor="text1"/>
          <w:sz w:val="24"/>
          <w:szCs w:val="24"/>
        </w:rPr>
        <w:t>Méthodologie</w:t>
      </w:r>
      <w:bookmarkEnd w:id="1"/>
    </w:p>
    <w:p w:rsidR="00EA33FE" w:rsidRPr="00762E6E" w:rsidRDefault="00EA33FE" w:rsidP="00F72129">
      <w:pPr>
        <w:jc w:val="both"/>
        <w:rPr>
          <w:rFonts w:ascii="Times New Roman" w:hAnsi="Times New Roman" w:cs="Times New Roman"/>
          <w:color w:val="000000" w:themeColor="text1"/>
          <w:sz w:val="24"/>
          <w:szCs w:val="24"/>
        </w:rPr>
      </w:pPr>
      <w:r w:rsidRPr="00762E6E">
        <w:rPr>
          <w:rFonts w:ascii="Times New Roman" w:hAnsi="Times New Roman" w:cs="Times New Roman"/>
          <w:color w:val="000000" w:themeColor="text1"/>
          <w:sz w:val="24"/>
          <w:szCs w:val="24"/>
        </w:rPr>
        <w:t xml:space="preserve">Pour la réalisation de cette étude, la démarche suivante a été adoptée:  </w:t>
      </w:r>
    </w:p>
    <w:p w:rsidR="00803DF8" w:rsidRPr="004C5711" w:rsidRDefault="00803DF8" w:rsidP="004C5711">
      <w:pPr>
        <w:pStyle w:val="Titre2"/>
        <w:rPr>
          <w:rFonts w:ascii="Times New Roman" w:hAnsi="Times New Roman" w:cs="Times New Roman"/>
          <w:b/>
          <w:color w:val="000000" w:themeColor="text1"/>
          <w:sz w:val="24"/>
          <w:szCs w:val="24"/>
        </w:rPr>
      </w:pPr>
      <w:bookmarkStart w:id="2" w:name="_Toc505329013"/>
      <w:r w:rsidRPr="004C5711">
        <w:rPr>
          <w:rFonts w:ascii="Times New Roman" w:hAnsi="Times New Roman" w:cs="Times New Roman"/>
          <w:b/>
          <w:color w:val="000000" w:themeColor="text1"/>
          <w:sz w:val="24"/>
          <w:szCs w:val="24"/>
        </w:rPr>
        <w:t>2.1</w:t>
      </w:r>
      <w:r w:rsidRPr="004C5711">
        <w:rPr>
          <w:rFonts w:ascii="Times New Roman" w:hAnsi="Times New Roman" w:cs="Times New Roman"/>
          <w:b/>
          <w:color w:val="000000" w:themeColor="text1"/>
          <w:sz w:val="24"/>
          <w:szCs w:val="24"/>
        </w:rPr>
        <w:tab/>
      </w:r>
      <w:r w:rsidR="00EA33FE" w:rsidRPr="004C5711">
        <w:rPr>
          <w:rFonts w:ascii="Times New Roman" w:hAnsi="Times New Roman" w:cs="Times New Roman"/>
          <w:b/>
          <w:color w:val="000000" w:themeColor="text1"/>
          <w:sz w:val="24"/>
          <w:szCs w:val="24"/>
        </w:rPr>
        <w:t>Revue documentaire</w:t>
      </w:r>
      <w:bookmarkEnd w:id="2"/>
      <w:r w:rsidR="00EA33FE" w:rsidRPr="004C5711">
        <w:rPr>
          <w:rFonts w:ascii="Times New Roman" w:hAnsi="Times New Roman" w:cs="Times New Roman"/>
          <w:b/>
          <w:color w:val="000000" w:themeColor="text1"/>
          <w:sz w:val="24"/>
          <w:szCs w:val="24"/>
        </w:rPr>
        <w:t xml:space="preserve"> </w:t>
      </w:r>
    </w:p>
    <w:p w:rsidR="00EA33FE" w:rsidRPr="00762E6E" w:rsidRDefault="00EA33FE" w:rsidP="00F72129">
      <w:pPr>
        <w:jc w:val="both"/>
        <w:rPr>
          <w:rFonts w:ascii="Times New Roman" w:hAnsi="Times New Roman" w:cs="Times New Roman"/>
          <w:color w:val="000000" w:themeColor="text1"/>
          <w:sz w:val="24"/>
          <w:szCs w:val="24"/>
        </w:rPr>
      </w:pPr>
      <w:r w:rsidRPr="00762E6E">
        <w:rPr>
          <w:rFonts w:ascii="Times New Roman" w:hAnsi="Times New Roman" w:cs="Times New Roman"/>
          <w:color w:val="000000" w:themeColor="text1"/>
          <w:sz w:val="24"/>
          <w:szCs w:val="24"/>
        </w:rPr>
        <w:t xml:space="preserve">La revue documentaire s’appuie sur les études disponibles sur la question. Les </w:t>
      </w:r>
      <w:r w:rsidR="00F27B7B" w:rsidRPr="00762E6E">
        <w:rPr>
          <w:rFonts w:ascii="Times New Roman" w:hAnsi="Times New Roman" w:cs="Times New Roman"/>
          <w:color w:val="000000" w:themeColor="text1"/>
          <w:sz w:val="24"/>
          <w:szCs w:val="24"/>
        </w:rPr>
        <w:t xml:space="preserve">documents disponibles traitant le sujet </w:t>
      </w:r>
      <w:r w:rsidRPr="00762E6E">
        <w:rPr>
          <w:rFonts w:ascii="Times New Roman" w:hAnsi="Times New Roman" w:cs="Times New Roman"/>
          <w:color w:val="000000" w:themeColor="text1"/>
          <w:sz w:val="24"/>
          <w:szCs w:val="24"/>
        </w:rPr>
        <w:t xml:space="preserve">ont été </w:t>
      </w:r>
      <w:r w:rsidR="00F27B7B" w:rsidRPr="00762E6E">
        <w:rPr>
          <w:rFonts w:ascii="Times New Roman" w:hAnsi="Times New Roman" w:cs="Times New Roman"/>
          <w:color w:val="000000" w:themeColor="text1"/>
          <w:sz w:val="24"/>
          <w:szCs w:val="24"/>
        </w:rPr>
        <w:t>consultés</w:t>
      </w:r>
      <w:r w:rsidRPr="00762E6E">
        <w:rPr>
          <w:rFonts w:ascii="Times New Roman" w:hAnsi="Times New Roman" w:cs="Times New Roman"/>
          <w:color w:val="000000" w:themeColor="text1"/>
          <w:sz w:val="24"/>
          <w:szCs w:val="24"/>
        </w:rPr>
        <w:t xml:space="preserve"> pour les besoins d’actualisation de l’information. Une analyse approfondie de la bibliographie disponible sur le thème au niveau national et a </w:t>
      </w:r>
      <w:r w:rsidR="00F27B7B" w:rsidRPr="00762E6E">
        <w:rPr>
          <w:rFonts w:ascii="Times New Roman" w:hAnsi="Times New Roman" w:cs="Times New Roman"/>
          <w:color w:val="000000" w:themeColor="text1"/>
          <w:sz w:val="24"/>
          <w:szCs w:val="24"/>
        </w:rPr>
        <w:t>été faite à travers l’internet</w:t>
      </w:r>
      <w:r w:rsidRPr="00762E6E">
        <w:rPr>
          <w:rFonts w:ascii="Times New Roman" w:hAnsi="Times New Roman" w:cs="Times New Roman"/>
          <w:color w:val="000000" w:themeColor="text1"/>
          <w:sz w:val="24"/>
          <w:szCs w:val="24"/>
        </w:rPr>
        <w:t xml:space="preserve">. </w:t>
      </w:r>
      <w:r w:rsidR="00F27B7B" w:rsidRPr="00762E6E">
        <w:rPr>
          <w:rFonts w:ascii="Times New Roman" w:hAnsi="Times New Roman" w:cs="Times New Roman"/>
          <w:color w:val="000000" w:themeColor="text1"/>
          <w:sz w:val="24"/>
          <w:szCs w:val="24"/>
        </w:rPr>
        <w:t>Les informations de la revue documentaire ont été complétées par les données d’enquête légère.</w:t>
      </w:r>
    </w:p>
    <w:p w:rsidR="00803DF8" w:rsidRPr="004C5711" w:rsidRDefault="00803DF8" w:rsidP="004C5711">
      <w:pPr>
        <w:pStyle w:val="Titre2"/>
        <w:rPr>
          <w:rFonts w:ascii="Times New Roman" w:hAnsi="Times New Roman" w:cs="Times New Roman"/>
          <w:b/>
          <w:color w:val="000000" w:themeColor="text1"/>
          <w:sz w:val="24"/>
          <w:szCs w:val="24"/>
        </w:rPr>
      </w:pPr>
      <w:bookmarkStart w:id="3" w:name="_Toc505329014"/>
      <w:r w:rsidRPr="004C5711">
        <w:rPr>
          <w:rFonts w:ascii="Times New Roman" w:hAnsi="Times New Roman" w:cs="Times New Roman"/>
          <w:b/>
          <w:color w:val="000000" w:themeColor="text1"/>
          <w:sz w:val="24"/>
          <w:szCs w:val="24"/>
        </w:rPr>
        <w:t>2.2</w:t>
      </w:r>
      <w:r w:rsidRPr="004C5711">
        <w:rPr>
          <w:rFonts w:ascii="Times New Roman" w:hAnsi="Times New Roman" w:cs="Times New Roman"/>
          <w:b/>
          <w:color w:val="000000" w:themeColor="text1"/>
          <w:sz w:val="24"/>
          <w:szCs w:val="24"/>
        </w:rPr>
        <w:tab/>
      </w:r>
      <w:r w:rsidR="004F4AAF" w:rsidRPr="004C5711">
        <w:rPr>
          <w:rFonts w:ascii="Times New Roman" w:hAnsi="Times New Roman" w:cs="Times New Roman"/>
          <w:b/>
          <w:color w:val="000000" w:themeColor="text1"/>
          <w:sz w:val="24"/>
          <w:szCs w:val="24"/>
        </w:rPr>
        <w:t>Enquête légère</w:t>
      </w:r>
      <w:bookmarkEnd w:id="3"/>
    </w:p>
    <w:p w:rsidR="004F4AAF" w:rsidRPr="00762E6E" w:rsidRDefault="0012795D" w:rsidP="00F7212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sidR="004F4AAF" w:rsidRPr="00762E6E">
        <w:rPr>
          <w:rFonts w:ascii="Times New Roman" w:hAnsi="Times New Roman" w:cs="Times New Roman"/>
          <w:color w:val="000000" w:themeColor="text1"/>
          <w:sz w:val="24"/>
          <w:szCs w:val="24"/>
        </w:rPr>
        <w:t>enquête l</w:t>
      </w:r>
      <w:r w:rsidR="00084FDA" w:rsidRPr="00762E6E">
        <w:rPr>
          <w:rFonts w:ascii="Times New Roman" w:hAnsi="Times New Roman" w:cs="Times New Roman"/>
          <w:color w:val="000000" w:themeColor="text1"/>
          <w:sz w:val="24"/>
          <w:szCs w:val="24"/>
        </w:rPr>
        <w:t>égère a été effectuée auprès de certains</w:t>
      </w:r>
      <w:r w:rsidR="004F4AAF" w:rsidRPr="00762E6E">
        <w:rPr>
          <w:rFonts w:ascii="Times New Roman" w:hAnsi="Times New Roman" w:cs="Times New Roman"/>
          <w:color w:val="000000" w:themeColor="text1"/>
          <w:sz w:val="24"/>
          <w:szCs w:val="24"/>
        </w:rPr>
        <w:t xml:space="preserve"> </w:t>
      </w:r>
      <w:r w:rsidR="00084FDA" w:rsidRPr="00762E6E">
        <w:rPr>
          <w:rFonts w:ascii="Times New Roman" w:hAnsi="Times New Roman" w:cs="Times New Roman"/>
          <w:color w:val="000000" w:themeColor="text1"/>
          <w:sz w:val="24"/>
          <w:szCs w:val="24"/>
        </w:rPr>
        <w:t>décideurs politiques</w:t>
      </w:r>
      <w:r w:rsidR="004F4AAF" w:rsidRPr="00762E6E">
        <w:rPr>
          <w:rFonts w:ascii="Times New Roman" w:hAnsi="Times New Roman" w:cs="Times New Roman"/>
          <w:color w:val="000000" w:themeColor="text1"/>
          <w:sz w:val="24"/>
          <w:szCs w:val="24"/>
        </w:rPr>
        <w:t xml:space="preserve"> pour avoir leur perception sur </w:t>
      </w:r>
      <w:r w:rsidR="00864E78" w:rsidRPr="00762E6E">
        <w:rPr>
          <w:rFonts w:ascii="Times New Roman" w:hAnsi="Times New Roman" w:cs="Times New Roman"/>
          <w:color w:val="000000" w:themeColor="text1"/>
          <w:sz w:val="24"/>
          <w:szCs w:val="24"/>
        </w:rPr>
        <w:t xml:space="preserve">l’accès des </w:t>
      </w:r>
      <w:r w:rsidR="00084FDA" w:rsidRPr="00762E6E">
        <w:rPr>
          <w:rFonts w:ascii="Times New Roman" w:hAnsi="Times New Roman" w:cs="Times New Roman"/>
          <w:color w:val="000000" w:themeColor="text1"/>
          <w:sz w:val="24"/>
          <w:szCs w:val="24"/>
        </w:rPr>
        <w:t xml:space="preserve">femmes et </w:t>
      </w:r>
      <w:r w:rsidR="00864E78" w:rsidRPr="00762E6E">
        <w:rPr>
          <w:rFonts w:ascii="Times New Roman" w:hAnsi="Times New Roman" w:cs="Times New Roman"/>
          <w:color w:val="000000" w:themeColor="text1"/>
          <w:sz w:val="24"/>
          <w:szCs w:val="24"/>
        </w:rPr>
        <w:t>des</w:t>
      </w:r>
      <w:r w:rsidR="00084FDA" w:rsidRPr="00762E6E">
        <w:rPr>
          <w:rFonts w:ascii="Times New Roman" w:hAnsi="Times New Roman" w:cs="Times New Roman"/>
          <w:color w:val="000000" w:themeColor="text1"/>
          <w:sz w:val="24"/>
          <w:szCs w:val="24"/>
        </w:rPr>
        <w:t xml:space="preserve"> jeunes</w:t>
      </w:r>
      <w:r w:rsidR="00864E78" w:rsidRPr="00762E6E">
        <w:rPr>
          <w:rFonts w:ascii="Times New Roman" w:hAnsi="Times New Roman" w:cs="Times New Roman"/>
          <w:color w:val="000000" w:themeColor="text1"/>
          <w:sz w:val="24"/>
          <w:szCs w:val="24"/>
        </w:rPr>
        <w:t xml:space="preserve"> aux facteurs de production</w:t>
      </w:r>
      <w:r w:rsidR="004F4AAF" w:rsidRPr="00762E6E">
        <w:rPr>
          <w:rFonts w:ascii="Times New Roman" w:hAnsi="Times New Roman" w:cs="Times New Roman"/>
          <w:color w:val="000000" w:themeColor="text1"/>
          <w:sz w:val="24"/>
          <w:szCs w:val="24"/>
        </w:rPr>
        <w:t>. Cett</w:t>
      </w:r>
      <w:r w:rsidR="00084FDA" w:rsidRPr="00762E6E">
        <w:rPr>
          <w:rFonts w:ascii="Times New Roman" w:hAnsi="Times New Roman" w:cs="Times New Roman"/>
          <w:color w:val="000000" w:themeColor="text1"/>
          <w:sz w:val="24"/>
          <w:szCs w:val="24"/>
        </w:rPr>
        <w:t>e enquête s’est déroulée aup</w:t>
      </w:r>
      <w:r w:rsidR="00114A97">
        <w:rPr>
          <w:rFonts w:ascii="Times New Roman" w:hAnsi="Times New Roman" w:cs="Times New Roman"/>
          <w:color w:val="000000" w:themeColor="text1"/>
          <w:sz w:val="24"/>
          <w:szCs w:val="24"/>
        </w:rPr>
        <w:t>rès de</w:t>
      </w:r>
      <w:r w:rsidR="00084FDA" w:rsidRPr="00762E6E">
        <w:rPr>
          <w:rFonts w:ascii="Times New Roman" w:hAnsi="Times New Roman" w:cs="Times New Roman"/>
          <w:color w:val="000000" w:themeColor="text1"/>
          <w:sz w:val="24"/>
          <w:szCs w:val="24"/>
        </w:rPr>
        <w:t>1</w:t>
      </w:r>
      <w:r w:rsidR="00F27B7B" w:rsidRPr="00762E6E">
        <w:rPr>
          <w:rFonts w:ascii="Times New Roman" w:hAnsi="Times New Roman" w:cs="Times New Roman"/>
          <w:color w:val="000000" w:themeColor="text1"/>
          <w:sz w:val="24"/>
          <w:szCs w:val="24"/>
        </w:rPr>
        <w:t>8</w:t>
      </w:r>
      <w:r w:rsidR="00084FDA" w:rsidRPr="00762E6E">
        <w:rPr>
          <w:rFonts w:ascii="Times New Roman" w:hAnsi="Times New Roman" w:cs="Times New Roman"/>
          <w:color w:val="000000" w:themeColor="text1"/>
          <w:sz w:val="24"/>
          <w:szCs w:val="24"/>
        </w:rPr>
        <w:t xml:space="preserve"> décideurs politiques d</w:t>
      </w:r>
      <w:r w:rsidR="00832DA0">
        <w:rPr>
          <w:rFonts w:ascii="Times New Roman" w:hAnsi="Times New Roman" w:cs="Times New Roman"/>
          <w:color w:val="000000" w:themeColor="text1"/>
          <w:sz w:val="24"/>
          <w:szCs w:val="24"/>
        </w:rPr>
        <w:t>ont 6 de chaque</w:t>
      </w:r>
      <w:r w:rsidR="004F4AAF" w:rsidRPr="00762E6E">
        <w:rPr>
          <w:rFonts w:ascii="Times New Roman" w:hAnsi="Times New Roman" w:cs="Times New Roman"/>
          <w:color w:val="000000" w:themeColor="text1"/>
          <w:sz w:val="24"/>
          <w:szCs w:val="24"/>
        </w:rPr>
        <w:t xml:space="preserve"> zone</w:t>
      </w:r>
      <w:r w:rsidR="00832DA0">
        <w:rPr>
          <w:rFonts w:ascii="Times New Roman" w:hAnsi="Times New Roman" w:cs="Times New Roman"/>
          <w:color w:val="000000" w:themeColor="text1"/>
          <w:sz w:val="24"/>
          <w:szCs w:val="24"/>
        </w:rPr>
        <w:t xml:space="preserve"> </w:t>
      </w:r>
      <w:r w:rsidR="00084FDA" w:rsidRPr="00762E6E">
        <w:rPr>
          <w:rFonts w:ascii="Times New Roman" w:hAnsi="Times New Roman" w:cs="Times New Roman"/>
          <w:color w:val="000000" w:themeColor="text1"/>
          <w:sz w:val="24"/>
          <w:szCs w:val="24"/>
        </w:rPr>
        <w:t>Sikasso, Bougouni et Koutiala</w:t>
      </w:r>
      <w:r w:rsidR="004F4AAF" w:rsidRPr="00762E6E">
        <w:rPr>
          <w:rFonts w:ascii="Times New Roman" w:hAnsi="Times New Roman" w:cs="Times New Roman"/>
          <w:color w:val="000000" w:themeColor="text1"/>
          <w:sz w:val="24"/>
          <w:szCs w:val="24"/>
        </w:rPr>
        <w:t xml:space="preserve">. </w:t>
      </w:r>
      <w:r w:rsidR="00906B55" w:rsidRPr="00762E6E">
        <w:rPr>
          <w:rFonts w:ascii="Times New Roman" w:hAnsi="Times New Roman" w:cs="Times New Roman"/>
          <w:color w:val="000000" w:themeColor="text1"/>
          <w:sz w:val="24"/>
          <w:szCs w:val="24"/>
        </w:rPr>
        <w:t xml:space="preserve">Les décideurs ayant </w:t>
      </w:r>
      <w:r w:rsidR="00A51DE1" w:rsidRPr="00762E6E">
        <w:rPr>
          <w:rFonts w:ascii="Times New Roman" w:hAnsi="Times New Roman" w:cs="Times New Roman"/>
          <w:color w:val="000000" w:themeColor="text1"/>
          <w:sz w:val="24"/>
          <w:szCs w:val="24"/>
        </w:rPr>
        <w:t>répondus</w:t>
      </w:r>
      <w:r w:rsidR="00906B55" w:rsidRPr="00762E6E">
        <w:rPr>
          <w:rFonts w:ascii="Times New Roman" w:hAnsi="Times New Roman" w:cs="Times New Roman"/>
          <w:color w:val="000000" w:themeColor="text1"/>
          <w:sz w:val="24"/>
          <w:szCs w:val="24"/>
        </w:rPr>
        <w:t xml:space="preserve"> </w:t>
      </w:r>
      <w:r w:rsidR="00803DF8">
        <w:rPr>
          <w:rFonts w:ascii="Times New Roman" w:hAnsi="Times New Roman" w:cs="Times New Roman"/>
          <w:color w:val="000000" w:themeColor="text1"/>
          <w:sz w:val="24"/>
          <w:szCs w:val="24"/>
        </w:rPr>
        <w:t>au questionnaire provenaient de différentes structures notamment le</w:t>
      </w:r>
      <w:r w:rsidR="00A51DE1" w:rsidRPr="00762E6E">
        <w:rPr>
          <w:rFonts w:ascii="Times New Roman" w:hAnsi="Times New Roman" w:cs="Times New Roman"/>
          <w:color w:val="000000" w:themeColor="text1"/>
          <w:sz w:val="24"/>
          <w:szCs w:val="24"/>
        </w:rPr>
        <w:t xml:space="preserve"> conseil régional de Sikasso, les</w:t>
      </w:r>
      <w:r w:rsidR="00906B55" w:rsidRPr="00762E6E">
        <w:rPr>
          <w:rFonts w:ascii="Times New Roman" w:hAnsi="Times New Roman" w:cs="Times New Roman"/>
          <w:color w:val="000000" w:themeColor="text1"/>
          <w:sz w:val="24"/>
          <w:szCs w:val="24"/>
        </w:rPr>
        <w:t xml:space="preserve"> </w:t>
      </w:r>
      <w:r w:rsidR="00A51DE1" w:rsidRPr="00762E6E">
        <w:rPr>
          <w:rFonts w:ascii="Times New Roman" w:hAnsi="Times New Roman" w:cs="Times New Roman"/>
          <w:color w:val="000000" w:themeColor="text1"/>
          <w:sz w:val="24"/>
          <w:szCs w:val="24"/>
        </w:rPr>
        <w:t xml:space="preserve">collectivités locales, le tribunal de grande instance de Sikasso, le service d’agriculture, les banques, </w:t>
      </w:r>
      <w:r w:rsidR="00BF32E1" w:rsidRPr="00762E6E">
        <w:rPr>
          <w:rFonts w:ascii="Times New Roman" w:hAnsi="Times New Roman" w:cs="Times New Roman"/>
          <w:color w:val="000000" w:themeColor="text1"/>
          <w:sz w:val="24"/>
          <w:szCs w:val="24"/>
        </w:rPr>
        <w:t xml:space="preserve">la </w:t>
      </w:r>
      <w:r w:rsidR="00A51DE1" w:rsidRPr="00762E6E">
        <w:rPr>
          <w:rFonts w:ascii="Times New Roman" w:hAnsi="Times New Roman" w:cs="Times New Roman"/>
          <w:color w:val="000000" w:themeColor="text1"/>
          <w:sz w:val="24"/>
          <w:szCs w:val="24"/>
        </w:rPr>
        <w:t xml:space="preserve">chambre régionale d’agriculture, </w:t>
      </w:r>
      <w:r>
        <w:rPr>
          <w:rFonts w:ascii="Times New Roman" w:hAnsi="Times New Roman" w:cs="Times New Roman"/>
          <w:color w:val="000000" w:themeColor="text1"/>
          <w:sz w:val="24"/>
          <w:szCs w:val="24"/>
        </w:rPr>
        <w:t xml:space="preserve">les </w:t>
      </w:r>
      <w:r w:rsidR="00A51DE1" w:rsidRPr="00762E6E">
        <w:rPr>
          <w:rFonts w:ascii="Times New Roman" w:hAnsi="Times New Roman" w:cs="Times New Roman"/>
          <w:color w:val="000000" w:themeColor="text1"/>
          <w:sz w:val="24"/>
          <w:szCs w:val="24"/>
        </w:rPr>
        <w:t xml:space="preserve">préfets et </w:t>
      </w:r>
      <w:r>
        <w:rPr>
          <w:rFonts w:ascii="Times New Roman" w:hAnsi="Times New Roman" w:cs="Times New Roman"/>
          <w:color w:val="000000" w:themeColor="text1"/>
          <w:sz w:val="24"/>
          <w:szCs w:val="24"/>
        </w:rPr>
        <w:t xml:space="preserve">les </w:t>
      </w:r>
      <w:r w:rsidR="00A51DE1" w:rsidRPr="00762E6E">
        <w:rPr>
          <w:rFonts w:ascii="Times New Roman" w:hAnsi="Times New Roman" w:cs="Times New Roman"/>
          <w:color w:val="000000" w:themeColor="text1"/>
          <w:sz w:val="24"/>
          <w:szCs w:val="24"/>
        </w:rPr>
        <w:t>représentants de producteurs.</w:t>
      </w:r>
    </w:p>
    <w:p w:rsidR="004F4AAF" w:rsidRPr="004C5711" w:rsidRDefault="00024D5D" w:rsidP="004C5711">
      <w:pPr>
        <w:pStyle w:val="Titre2"/>
        <w:rPr>
          <w:rFonts w:ascii="Times New Roman" w:hAnsi="Times New Roman" w:cs="Times New Roman"/>
          <w:b/>
          <w:color w:val="000000" w:themeColor="text1"/>
          <w:sz w:val="24"/>
          <w:szCs w:val="24"/>
        </w:rPr>
      </w:pPr>
      <w:bookmarkStart w:id="4" w:name="_Toc505329015"/>
      <w:r w:rsidRPr="004C5711">
        <w:rPr>
          <w:rFonts w:ascii="Times New Roman" w:hAnsi="Times New Roman" w:cs="Times New Roman"/>
          <w:b/>
          <w:color w:val="000000" w:themeColor="text1"/>
          <w:sz w:val="24"/>
          <w:szCs w:val="24"/>
        </w:rPr>
        <w:t>2.3</w:t>
      </w:r>
      <w:r w:rsidRPr="004C5711">
        <w:rPr>
          <w:rFonts w:ascii="Times New Roman" w:hAnsi="Times New Roman" w:cs="Times New Roman"/>
          <w:b/>
          <w:color w:val="000000" w:themeColor="text1"/>
          <w:sz w:val="24"/>
          <w:szCs w:val="24"/>
        </w:rPr>
        <w:tab/>
      </w:r>
      <w:r w:rsidR="00C876D6" w:rsidRPr="004C5711">
        <w:rPr>
          <w:rFonts w:ascii="Times New Roman" w:hAnsi="Times New Roman" w:cs="Times New Roman"/>
          <w:b/>
          <w:color w:val="000000" w:themeColor="text1"/>
          <w:sz w:val="24"/>
          <w:szCs w:val="24"/>
        </w:rPr>
        <w:t>Définition de quelques notions conceptuelles</w:t>
      </w:r>
      <w:bookmarkEnd w:id="4"/>
    </w:p>
    <w:p w:rsidR="004F4AAF" w:rsidRPr="00762E6E" w:rsidRDefault="00C876D6" w:rsidP="00F72129">
      <w:pPr>
        <w:jc w:val="both"/>
        <w:rPr>
          <w:rFonts w:ascii="Times New Roman" w:hAnsi="Times New Roman" w:cs="Times New Roman"/>
          <w:sz w:val="24"/>
          <w:szCs w:val="24"/>
        </w:rPr>
      </w:pPr>
      <w:r w:rsidRPr="00762E6E">
        <w:rPr>
          <w:rFonts w:ascii="Times New Roman" w:hAnsi="Times New Roman" w:cs="Times New Roman"/>
          <w:b/>
          <w:color w:val="000000" w:themeColor="text1"/>
          <w:sz w:val="24"/>
          <w:szCs w:val="24"/>
        </w:rPr>
        <w:t>Jeune exploitant agricole</w:t>
      </w:r>
      <w:r w:rsidRPr="00762E6E">
        <w:rPr>
          <w:rFonts w:ascii="Times New Roman" w:hAnsi="Times New Roman" w:cs="Times New Roman"/>
          <w:color w:val="000000" w:themeColor="text1"/>
          <w:sz w:val="24"/>
          <w:szCs w:val="24"/>
        </w:rPr>
        <w:t xml:space="preserve">: </w:t>
      </w:r>
      <w:r w:rsidRPr="00762E6E">
        <w:rPr>
          <w:rFonts w:ascii="Times New Roman" w:hAnsi="Times New Roman" w:cs="Times New Roman"/>
          <w:sz w:val="24"/>
          <w:szCs w:val="24"/>
        </w:rPr>
        <w:t>Est considéré comme jeune exploitant agricole, toute personne physique, de sexe masculin ou féminin, dont l’âge est compris entre 15 et 40 ans et exerçant à titre principal une activité agricole (LOA du Mali, 2006).</w:t>
      </w:r>
    </w:p>
    <w:p w:rsidR="00C876D6" w:rsidRPr="00762E6E" w:rsidRDefault="00114A97" w:rsidP="00F72129">
      <w:pPr>
        <w:jc w:val="both"/>
        <w:rPr>
          <w:rFonts w:ascii="Times New Roman" w:hAnsi="Times New Roman" w:cs="Times New Roman"/>
          <w:sz w:val="24"/>
          <w:szCs w:val="24"/>
        </w:rPr>
      </w:pPr>
      <w:r>
        <w:rPr>
          <w:rFonts w:ascii="Times New Roman" w:hAnsi="Times New Roman" w:cs="Times New Roman"/>
          <w:b/>
          <w:sz w:val="24"/>
          <w:szCs w:val="24"/>
        </w:rPr>
        <w:t>Groupe vulnérable</w:t>
      </w:r>
      <w:r w:rsidR="00C876D6" w:rsidRPr="00114A97">
        <w:rPr>
          <w:rFonts w:ascii="Times New Roman" w:hAnsi="Times New Roman" w:cs="Times New Roman"/>
          <w:sz w:val="24"/>
          <w:szCs w:val="24"/>
        </w:rPr>
        <w:t>:</w:t>
      </w:r>
      <w:r w:rsidR="00C876D6" w:rsidRPr="00762E6E">
        <w:rPr>
          <w:rFonts w:ascii="Times New Roman" w:hAnsi="Times New Roman" w:cs="Times New Roman"/>
          <w:sz w:val="24"/>
          <w:szCs w:val="24"/>
        </w:rPr>
        <w:t xml:space="preserve"> Un groupe vulnérable est un groupe de population composée d’une forte proportion de m</w:t>
      </w:r>
      <w:r>
        <w:rPr>
          <w:rFonts w:ascii="Times New Roman" w:hAnsi="Times New Roman" w:cs="Times New Roman"/>
          <w:sz w:val="24"/>
          <w:szCs w:val="24"/>
        </w:rPr>
        <w:t xml:space="preserve">énages et d’individus souffrant </w:t>
      </w:r>
      <w:r w:rsidR="00C876D6" w:rsidRPr="00762E6E">
        <w:rPr>
          <w:rFonts w:ascii="Times New Roman" w:hAnsi="Times New Roman" w:cs="Times New Roman"/>
          <w:sz w:val="24"/>
          <w:szCs w:val="24"/>
        </w:rPr>
        <w:t>d’insécurité alimentaire ou exposés à l’insécurité alimentaire.</w:t>
      </w:r>
    </w:p>
    <w:p w:rsidR="004F4AAF" w:rsidRPr="004C5711" w:rsidRDefault="00CB337F" w:rsidP="004C5711">
      <w:pPr>
        <w:pStyle w:val="Titre1"/>
        <w:rPr>
          <w:rFonts w:ascii="Times New Roman" w:hAnsi="Times New Roman" w:cs="Times New Roman"/>
          <w:b/>
          <w:color w:val="000000" w:themeColor="text1"/>
          <w:sz w:val="24"/>
          <w:szCs w:val="24"/>
        </w:rPr>
      </w:pPr>
      <w:bookmarkStart w:id="5" w:name="_Toc505329016"/>
      <w:r w:rsidRPr="004C5711">
        <w:rPr>
          <w:rFonts w:ascii="Times New Roman" w:hAnsi="Times New Roman" w:cs="Times New Roman"/>
          <w:b/>
          <w:color w:val="000000" w:themeColor="text1"/>
          <w:sz w:val="24"/>
          <w:szCs w:val="24"/>
        </w:rPr>
        <w:lastRenderedPageBreak/>
        <w:t>3.</w:t>
      </w:r>
      <w:r w:rsidRPr="004C5711">
        <w:rPr>
          <w:rFonts w:ascii="Times New Roman" w:hAnsi="Times New Roman" w:cs="Times New Roman"/>
          <w:b/>
          <w:color w:val="000000" w:themeColor="text1"/>
          <w:sz w:val="24"/>
          <w:szCs w:val="24"/>
        </w:rPr>
        <w:tab/>
      </w:r>
      <w:r w:rsidR="004F4AAF" w:rsidRPr="004C5711">
        <w:rPr>
          <w:rFonts w:ascii="Times New Roman" w:hAnsi="Times New Roman" w:cs="Times New Roman"/>
          <w:b/>
          <w:color w:val="000000" w:themeColor="text1"/>
          <w:sz w:val="24"/>
          <w:szCs w:val="24"/>
        </w:rPr>
        <w:t>Résultats</w:t>
      </w:r>
      <w:bookmarkEnd w:id="5"/>
    </w:p>
    <w:p w:rsidR="00C876D6" w:rsidRPr="004C5711" w:rsidRDefault="00CB337F" w:rsidP="004C5711">
      <w:pPr>
        <w:pStyle w:val="Titre2"/>
        <w:rPr>
          <w:rFonts w:ascii="Times New Roman" w:hAnsi="Times New Roman" w:cs="Times New Roman"/>
          <w:b/>
          <w:color w:val="000000" w:themeColor="text1"/>
          <w:sz w:val="24"/>
          <w:szCs w:val="24"/>
        </w:rPr>
      </w:pPr>
      <w:bookmarkStart w:id="6" w:name="_Toc505329017"/>
      <w:r w:rsidRPr="004C5711">
        <w:rPr>
          <w:rFonts w:ascii="Times New Roman" w:hAnsi="Times New Roman" w:cs="Times New Roman"/>
          <w:b/>
          <w:color w:val="000000" w:themeColor="text1"/>
          <w:sz w:val="24"/>
          <w:szCs w:val="24"/>
        </w:rPr>
        <w:t>3.1</w:t>
      </w:r>
      <w:r w:rsidRPr="004C5711">
        <w:rPr>
          <w:rFonts w:ascii="Times New Roman" w:hAnsi="Times New Roman" w:cs="Times New Roman"/>
          <w:b/>
          <w:color w:val="000000" w:themeColor="text1"/>
          <w:sz w:val="24"/>
          <w:szCs w:val="24"/>
        </w:rPr>
        <w:tab/>
      </w:r>
      <w:r w:rsidR="001B135C" w:rsidRPr="004C5711">
        <w:rPr>
          <w:rFonts w:ascii="Times New Roman" w:hAnsi="Times New Roman" w:cs="Times New Roman"/>
          <w:b/>
          <w:color w:val="000000" w:themeColor="text1"/>
          <w:sz w:val="24"/>
          <w:szCs w:val="24"/>
        </w:rPr>
        <w:t>Politiques favorisant l’accès des femmes et des jeunes aux facteurs de production et aux marchés</w:t>
      </w:r>
      <w:bookmarkEnd w:id="6"/>
    </w:p>
    <w:p w:rsidR="00D54901" w:rsidRDefault="00D54901" w:rsidP="00D54901">
      <w:pPr>
        <w:spacing w:after="0"/>
        <w:jc w:val="both"/>
        <w:rPr>
          <w:rFonts w:ascii="Times New Roman" w:hAnsi="Times New Roman" w:cs="Times New Roman"/>
          <w:b/>
          <w:sz w:val="24"/>
          <w:szCs w:val="24"/>
        </w:rPr>
      </w:pPr>
    </w:p>
    <w:p w:rsidR="00D54901" w:rsidRDefault="00D54901" w:rsidP="00D54901">
      <w:pPr>
        <w:spacing w:after="0"/>
        <w:jc w:val="both"/>
        <w:rPr>
          <w:rFonts w:ascii="Times New Roman" w:hAnsi="Times New Roman" w:cs="Times New Roman"/>
          <w:b/>
          <w:sz w:val="24"/>
          <w:szCs w:val="24"/>
        </w:rPr>
      </w:pPr>
      <w:r w:rsidRPr="00D54901">
        <w:rPr>
          <w:rFonts w:ascii="Times New Roman" w:hAnsi="Times New Roman" w:cs="Times New Roman"/>
          <w:b/>
          <w:sz w:val="24"/>
          <w:szCs w:val="24"/>
        </w:rPr>
        <w:t xml:space="preserve">Loi </w:t>
      </w:r>
      <w:r>
        <w:rPr>
          <w:rFonts w:ascii="Times New Roman" w:hAnsi="Times New Roman" w:cs="Times New Roman"/>
          <w:b/>
          <w:sz w:val="24"/>
          <w:szCs w:val="24"/>
        </w:rPr>
        <w:t>d</w:t>
      </w:r>
      <w:r w:rsidRPr="00D54901">
        <w:rPr>
          <w:rFonts w:ascii="Times New Roman" w:hAnsi="Times New Roman" w:cs="Times New Roman"/>
          <w:b/>
          <w:sz w:val="24"/>
          <w:szCs w:val="24"/>
        </w:rPr>
        <w:t>’Orientation Agricole du Mali</w:t>
      </w:r>
      <w:r>
        <w:rPr>
          <w:rFonts w:ascii="Times New Roman" w:hAnsi="Times New Roman" w:cs="Times New Roman"/>
          <w:b/>
          <w:sz w:val="24"/>
          <w:szCs w:val="24"/>
        </w:rPr>
        <w:t xml:space="preserve"> (LOA)</w:t>
      </w:r>
    </w:p>
    <w:p w:rsidR="002A730B" w:rsidRPr="00D54901" w:rsidRDefault="00811EBD" w:rsidP="00F72129">
      <w:pPr>
        <w:jc w:val="both"/>
        <w:rPr>
          <w:rFonts w:ascii="Times New Roman" w:hAnsi="Times New Roman" w:cs="Times New Roman"/>
          <w:b/>
          <w:sz w:val="24"/>
          <w:szCs w:val="24"/>
        </w:rPr>
      </w:pPr>
      <w:r w:rsidRPr="00762E6E">
        <w:rPr>
          <w:rFonts w:ascii="Times New Roman" w:hAnsi="Times New Roman" w:cs="Times New Roman"/>
          <w:sz w:val="24"/>
          <w:szCs w:val="24"/>
        </w:rPr>
        <w:t>La Loi d’</w:t>
      </w:r>
      <w:r w:rsidR="002335A7">
        <w:rPr>
          <w:rFonts w:ascii="Times New Roman" w:hAnsi="Times New Roman" w:cs="Times New Roman"/>
          <w:sz w:val="24"/>
          <w:szCs w:val="24"/>
        </w:rPr>
        <w:t>O</w:t>
      </w:r>
      <w:r w:rsidRPr="00762E6E">
        <w:rPr>
          <w:rFonts w:ascii="Times New Roman" w:hAnsi="Times New Roman" w:cs="Times New Roman"/>
          <w:sz w:val="24"/>
          <w:szCs w:val="24"/>
        </w:rPr>
        <w:t xml:space="preserve">rientation </w:t>
      </w:r>
      <w:r w:rsidR="002335A7">
        <w:rPr>
          <w:rFonts w:ascii="Times New Roman" w:hAnsi="Times New Roman" w:cs="Times New Roman"/>
          <w:sz w:val="24"/>
          <w:szCs w:val="24"/>
        </w:rPr>
        <w:t>A</w:t>
      </w:r>
      <w:r w:rsidRPr="00762E6E">
        <w:rPr>
          <w:rFonts w:ascii="Times New Roman" w:hAnsi="Times New Roman" w:cs="Times New Roman"/>
          <w:sz w:val="24"/>
          <w:szCs w:val="24"/>
        </w:rPr>
        <w:t xml:space="preserve">gricole (LOA) de 2006 fixe un cadre </w:t>
      </w:r>
      <w:r w:rsidR="00DD14BF" w:rsidRPr="00762E6E">
        <w:rPr>
          <w:rFonts w:ascii="Times New Roman" w:hAnsi="Times New Roman" w:cs="Times New Roman"/>
          <w:sz w:val="24"/>
          <w:szCs w:val="24"/>
        </w:rPr>
        <w:t>assez</w:t>
      </w:r>
      <w:r w:rsidRPr="00762E6E">
        <w:rPr>
          <w:rFonts w:ascii="Times New Roman" w:hAnsi="Times New Roman" w:cs="Times New Roman"/>
          <w:sz w:val="24"/>
          <w:szCs w:val="24"/>
        </w:rPr>
        <w:t xml:space="preserve"> clair et ambitieux </w:t>
      </w:r>
      <w:r w:rsidR="00864E78" w:rsidRPr="00762E6E">
        <w:rPr>
          <w:rFonts w:ascii="Times New Roman" w:hAnsi="Times New Roman" w:cs="Times New Roman"/>
          <w:sz w:val="24"/>
          <w:szCs w:val="24"/>
        </w:rPr>
        <w:t>de</w:t>
      </w:r>
      <w:r w:rsidRPr="00762E6E">
        <w:rPr>
          <w:rFonts w:ascii="Times New Roman" w:hAnsi="Times New Roman" w:cs="Times New Roman"/>
          <w:sz w:val="24"/>
          <w:szCs w:val="24"/>
        </w:rPr>
        <w:t xml:space="preserve"> la politique de développement agricole</w:t>
      </w:r>
      <w:r w:rsidR="00995985" w:rsidRPr="00762E6E">
        <w:rPr>
          <w:rFonts w:ascii="Times New Roman" w:hAnsi="Times New Roman" w:cs="Times New Roman"/>
          <w:sz w:val="24"/>
          <w:szCs w:val="24"/>
        </w:rPr>
        <w:t xml:space="preserve"> au Mali</w:t>
      </w:r>
      <w:r w:rsidRPr="00762E6E">
        <w:rPr>
          <w:rFonts w:ascii="Times New Roman" w:hAnsi="Times New Roman" w:cs="Times New Roman"/>
          <w:sz w:val="24"/>
          <w:szCs w:val="24"/>
        </w:rPr>
        <w:t xml:space="preserve">. </w:t>
      </w:r>
      <w:r w:rsidR="00C664A2" w:rsidRPr="00762E6E">
        <w:rPr>
          <w:rFonts w:ascii="Times New Roman" w:hAnsi="Times New Roman" w:cs="Times New Roman"/>
          <w:sz w:val="24"/>
          <w:szCs w:val="24"/>
        </w:rPr>
        <w:t>L’Etat du Mali favorise l’accès des femmes et des jeunes aux facteurs de production, cela ressort beaucoup dans la Loi d’</w:t>
      </w:r>
      <w:r w:rsidR="002335A7">
        <w:rPr>
          <w:rFonts w:ascii="Times New Roman" w:hAnsi="Times New Roman" w:cs="Times New Roman"/>
          <w:sz w:val="24"/>
          <w:szCs w:val="24"/>
        </w:rPr>
        <w:t>O</w:t>
      </w:r>
      <w:r w:rsidR="00C664A2" w:rsidRPr="00762E6E">
        <w:rPr>
          <w:rFonts w:ascii="Times New Roman" w:hAnsi="Times New Roman" w:cs="Times New Roman"/>
          <w:sz w:val="24"/>
          <w:szCs w:val="24"/>
        </w:rPr>
        <w:t xml:space="preserve">rientation </w:t>
      </w:r>
      <w:r w:rsidR="002335A7">
        <w:rPr>
          <w:rFonts w:ascii="Times New Roman" w:hAnsi="Times New Roman" w:cs="Times New Roman"/>
          <w:sz w:val="24"/>
          <w:szCs w:val="24"/>
        </w:rPr>
        <w:t>A</w:t>
      </w:r>
      <w:r w:rsidR="00C664A2" w:rsidRPr="00762E6E">
        <w:rPr>
          <w:rFonts w:ascii="Times New Roman" w:hAnsi="Times New Roman" w:cs="Times New Roman"/>
          <w:sz w:val="24"/>
          <w:szCs w:val="24"/>
        </w:rPr>
        <w:t xml:space="preserve">gricole (LOA) de 2006. Cette loi </w:t>
      </w:r>
      <w:r w:rsidR="00114A97">
        <w:rPr>
          <w:rFonts w:ascii="Times New Roman" w:hAnsi="Times New Roman" w:cs="Times New Roman"/>
          <w:sz w:val="24"/>
          <w:szCs w:val="24"/>
        </w:rPr>
        <w:t>en son article 24 stipule que «</w:t>
      </w:r>
      <w:r w:rsidR="00C664A2" w:rsidRPr="00762E6E">
        <w:rPr>
          <w:rFonts w:ascii="Times New Roman" w:hAnsi="Times New Roman" w:cs="Times New Roman"/>
          <w:sz w:val="24"/>
          <w:szCs w:val="24"/>
        </w:rPr>
        <w:t>L’Etat privilégie l’installation des jeunes, des femmes et des groupes vulnérables, comme exploitants agricoles, notamment en favorisant leur accès aux facteurs de production et par des mécanismes d’appuis techni</w:t>
      </w:r>
      <w:r w:rsidR="00114A97">
        <w:rPr>
          <w:rFonts w:ascii="Times New Roman" w:hAnsi="Times New Roman" w:cs="Times New Roman"/>
          <w:sz w:val="24"/>
          <w:szCs w:val="24"/>
        </w:rPr>
        <w:t>ques ou financiers particuliers</w:t>
      </w:r>
      <w:r w:rsidR="00C664A2" w:rsidRPr="00762E6E">
        <w:rPr>
          <w:rFonts w:ascii="Times New Roman" w:hAnsi="Times New Roman" w:cs="Times New Roman"/>
          <w:sz w:val="24"/>
          <w:szCs w:val="24"/>
        </w:rPr>
        <w:t>». Ce même document (L</w:t>
      </w:r>
      <w:r w:rsidR="00114A97">
        <w:rPr>
          <w:rFonts w:ascii="Times New Roman" w:hAnsi="Times New Roman" w:cs="Times New Roman"/>
          <w:sz w:val="24"/>
          <w:szCs w:val="24"/>
        </w:rPr>
        <w:t>OA) dit en son article 8  que «</w:t>
      </w:r>
      <w:r w:rsidR="00C664A2" w:rsidRPr="00762E6E">
        <w:rPr>
          <w:rFonts w:ascii="Times New Roman" w:hAnsi="Times New Roman" w:cs="Times New Roman"/>
          <w:sz w:val="24"/>
          <w:szCs w:val="24"/>
        </w:rPr>
        <w:t>La politique de développement agricole vise à assurer la promotion des femmes et des hommes qui vivent du secteur agricole dans le respect de l’équité, notamment entre le milieu rural et urbain. Elle consacre le droit à la sécurité alimentaire pour tous dans le contexte recherché de souveraineté alimentaire ».</w:t>
      </w:r>
      <w:r w:rsidR="002A730B" w:rsidRPr="00762E6E">
        <w:rPr>
          <w:rFonts w:ascii="Times New Roman" w:hAnsi="Times New Roman" w:cs="Times New Roman"/>
          <w:sz w:val="24"/>
          <w:szCs w:val="24"/>
        </w:rPr>
        <w:t xml:space="preserve"> </w:t>
      </w:r>
      <w:r w:rsidR="00D60228" w:rsidRPr="00762E6E">
        <w:rPr>
          <w:rFonts w:ascii="Times New Roman" w:hAnsi="Times New Roman" w:cs="Times New Roman"/>
          <w:sz w:val="24"/>
          <w:szCs w:val="24"/>
        </w:rPr>
        <w:t xml:space="preserve"> En outre, à l’</w:t>
      </w:r>
      <w:r w:rsidR="002A730B" w:rsidRPr="00762E6E">
        <w:rPr>
          <w:rFonts w:ascii="Times New Roman" w:hAnsi="Times New Roman" w:cs="Times New Roman"/>
          <w:sz w:val="24"/>
          <w:szCs w:val="24"/>
        </w:rPr>
        <w:t>Article 45: l’Eta</w:t>
      </w:r>
      <w:r w:rsidR="0009480C" w:rsidRPr="00762E6E">
        <w:rPr>
          <w:rFonts w:ascii="Times New Roman" w:hAnsi="Times New Roman" w:cs="Times New Roman"/>
          <w:sz w:val="24"/>
          <w:szCs w:val="24"/>
        </w:rPr>
        <w:t>t</w:t>
      </w:r>
      <w:r w:rsidR="002A730B" w:rsidRPr="00762E6E">
        <w:rPr>
          <w:rFonts w:ascii="Times New Roman" w:hAnsi="Times New Roman" w:cs="Times New Roman"/>
          <w:sz w:val="24"/>
          <w:szCs w:val="24"/>
        </w:rPr>
        <w:t xml:space="preserve"> favorise l’équité entre les femmes et les hommes en milieu rural, en particulier dans l’exploitation agricole.</w:t>
      </w:r>
    </w:p>
    <w:p w:rsidR="002A730B" w:rsidRPr="00762E6E" w:rsidRDefault="002A730B" w:rsidP="00F72129">
      <w:pPr>
        <w:jc w:val="both"/>
        <w:rPr>
          <w:rFonts w:ascii="Times New Roman" w:hAnsi="Times New Roman" w:cs="Times New Roman"/>
          <w:sz w:val="24"/>
          <w:szCs w:val="24"/>
        </w:rPr>
      </w:pPr>
      <w:r w:rsidRPr="00762E6E">
        <w:rPr>
          <w:rFonts w:ascii="Times New Roman" w:hAnsi="Times New Roman" w:cs="Times New Roman"/>
          <w:sz w:val="24"/>
          <w:szCs w:val="24"/>
        </w:rPr>
        <w:t xml:space="preserve">L’accès des femmes et des jeunes à la terre agricole reste toujours un sujet de  grand débat au </w:t>
      </w:r>
      <w:r w:rsidR="0009480C" w:rsidRPr="00762E6E">
        <w:rPr>
          <w:rFonts w:ascii="Times New Roman" w:hAnsi="Times New Roman" w:cs="Times New Roman"/>
          <w:sz w:val="24"/>
          <w:szCs w:val="24"/>
        </w:rPr>
        <w:t>M</w:t>
      </w:r>
      <w:r w:rsidRPr="00762E6E">
        <w:rPr>
          <w:rFonts w:ascii="Times New Roman" w:hAnsi="Times New Roman" w:cs="Times New Roman"/>
          <w:sz w:val="24"/>
          <w:szCs w:val="24"/>
        </w:rPr>
        <w:t>ali, cependant, l’Etat fait une discrimination positive envers les femmes dans la LOA, à son artic</w:t>
      </w:r>
      <w:r w:rsidR="004B5EA5">
        <w:rPr>
          <w:rFonts w:ascii="Times New Roman" w:hAnsi="Times New Roman" w:cs="Times New Roman"/>
          <w:sz w:val="24"/>
          <w:szCs w:val="24"/>
        </w:rPr>
        <w:t>le 83 «</w:t>
      </w:r>
      <w:r w:rsidRPr="00762E6E">
        <w:rPr>
          <w:rFonts w:ascii="Times New Roman" w:hAnsi="Times New Roman" w:cs="Times New Roman"/>
          <w:sz w:val="24"/>
          <w:szCs w:val="24"/>
        </w:rPr>
        <w:t>L’Etat veille à assurer un accès équitable aux ressources foncières agricoles aux différentes catégories d’exploitants agricoles et promoteurs d’exploitants agricoles.</w:t>
      </w:r>
      <w:r w:rsidR="00D60228" w:rsidRPr="00762E6E">
        <w:rPr>
          <w:rFonts w:ascii="Times New Roman" w:hAnsi="Times New Roman" w:cs="Times New Roman"/>
          <w:sz w:val="24"/>
          <w:szCs w:val="24"/>
        </w:rPr>
        <w:t xml:space="preserve"> </w:t>
      </w:r>
      <w:r w:rsidRPr="00762E6E">
        <w:rPr>
          <w:rFonts w:ascii="Times New Roman" w:hAnsi="Times New Roman" w:cs="Times New Roman"/>
          <w:sz w:val="24"/>
          <w:szCs w:val="24"/>
        </w:rPr>
        <w:t>Toutefois des préférences sont accordées aux femmes, aux jeunes et aux groupes déclarés vulnérables dans l’attribution des parcelles au niveau des zones aménagées sur des fonds publics.</w:t>
      </w:r>
      <w:r w:rsidR="00D60228" w:rsidRPr="00762E6E">
        <w:rPr>
          <w:rFonts w:ascii="Times New Roman" w:hAnsi="Times New Roman" w:cs="Times New Roman"/>
          <w:sz w:val="24"/>
          <w:szCs w:val="24"/>
        </w:rPr>
        <w:t xml:space="preserve"> </w:t>
      </w:r>
      <w:r w:rsidRPr="00762E6E">
        <w:rPr>
          <w:rFonts w:ascii="Times New Roman" w:hAnsi="Times New Roman" w:cs="Times New Roman"/>
          <w:sz w:val="24"/>
          <w:szCs w:val="24"/>
        </w:rPr>
        <w:t>Les critères d’attribution des parcelles et de déclaration de vulnérabilité d’un groupe de population sont fixés par voie réglementaire ».</w:t>
      </w:r>
    </w:p>
    <w:p w:rsidR="00130ED8" w:rsidRPr="00762E6E" w:rsidRDefault="00D60228" w:rsidP="00F72129">
      <w:pPr>
        <w:jc w:val="both"/>
        <w:rPr>
          <w:rFonts w:ascii="Times New Roman" w:hAnsi="Times New Roman" w:cs="Times New Roman"/>
          <w:sz w:val="24"/>
          <w:szCs w:val="24"/>
        </w:rPr>
      </w:pPr>
      <w:r w:rsidRPr="00762E6E">
        <w:rPr>
          <w:rFonts w:ascii="Times New Roman" w:hAnsi="Times New Roman" w:cs="Times New Roman"/>
          <w:sz w:val="24"/>
          <w:szCs w:val="24"/>
        </w:rPr>
        <w:t>Pour les jeunes, l’a</w:t>
      </w:r>
      <w:r w:rsidR="005A24F9">
        <w:rPr>
          <w:rFonts w:ascii="Times New Roman" w:hAnsi="Times New Roman" w:cs="Times New Roman"/>
          <w:sz w:val="24"/>
          <w:szCs w:val="24"/>
        </w:rPr>
        <w:t>rticle 46 de la LOA stipule que</w:t>
      </w:r>
      <w:r w:rsidRPr="00762E6E">
        <w:rPr>
          <w:rFonts w:ascii="Times New Roman" w:hAnsi="Times New Roman" w:cs="Times New Roman"/>
          <w:sz w:val="24"/>
          <w:szCs w:val="24"/>
        </w:rPr>
        <w:t>: l’Insertion des jeunes dans toutes les activités liées aux métiers agricoles constitue une priorité de l’Etat et des collectivités locales.</w:t>
      </w:r>
    </w:p>
    <w:p w:rsidR="00D60228" w:rsidRPr="00762E6E" w:rsidRDefault="00D60228" w:rsidP="00F72129">
      <w:pPr>
        <w:jc w:val="both"/>
        <w:rPr>
          <w:rFonts w:ascii="Times New Roman" w:hAnsi="Times New Roman" w:cs="Times New Roman"/>
          <w:sz w:val="24"/>
          <w:szCs w:val="24"/>
        </w:rPr>
      </w:pPr>
      <w:r w:rsidRPr="00762E6E">
        <w:rPr>
          <w:rFonts w:ascii="Times New Roman" w:hAnsi="Times New Roman" w:cs="Times New Roman"/>
          <w:sz w:val="24"/>
          <w:szCs w:val="24"/>
        </w:rPr>
        <w:t>Concernant le financement de l’agriculture,</w:t>
      </w:r>
      <w:r w:rsidR="005A24F9">
        <w:rPr>
          <w:rFonts w:ascii="Times New Roman" w:hAnsi="Times New Roman" w:cs="Times New Roman"/>
          <w:sz w:val="24"/>
          <w:szCs w:val="24"/>
        </w:rPr>
        <w:t xml:space="preserve"> selon la LOA à son article 127</w:t>
      </w:r>
      <w:r w:rsidRPr="00762E6E">
        <w:rPr>
          <w:rFonts w:ascii="Times New Roman" w:hAnsi="Times New Roman" w:cs="Times New Roman"/>
          <w:sz w:val="24"/>
          <w:szCs w:val="24"/>
        </w:rPr>
        <w:t>: Des subventions spécifiques peuvent être accordées par l’Etat ou les collectivités territoriales dans le cadre des programmes d’installation des femmes et des jeunes et des groupes vulnérables dans le secteur agricole.</w:t>
      </w:r>
    </w:p>
    <w:p w:rsidR="00397741" w:rsidRDefault="00D60228" w:rsidP="00F72129">
      <w:pPr>
        <w:spacing w:after="0"/>
        <w:jc w:val="both"/>
        <w:rPr>
          <w:rFonts w:ascii="Times New Roman" w:hAnsi="Times New Roman" w:cs="Times New Roman"/>
          <w:sz w:val="24"/>
          <w:szCs w:val="24"/>
        </w:rPr>
      </w:pPr>
      <w:r w:rsidRPr="00762E6E">
        <w:rPr>
          <w:rFonts w:ascii="Times New Roman" w:hAnsi="Times New Roman" w:cs="Times New Roman"/>
          <w:sz w:val="24"/>
          <w:szCs w:val="24"/>
        </w:rPr>
        <w:t>Parlant des intrants et équipements agricole, LOA à son article 134, l’état facilite l’accès du plus grand nombre d’exploitants agricoles</w:t>
      </w:r>
      <w:r w:rsidR="00B61B68" w:rsidRPr="00762E6E">
        <w:rPr>
          <w:rFonts w:ascii="Times New Roman" w:hAnsi="Times New Roman" w:cs="Times New Roman"/>
          <w:sz w:val="24"/>
          <w:szCs w:val="24"/>
        </w:rPr>
        <w:t>, notamment les jeunes et les femmes, à la traction animale et à la motorisation.</w:t>
      </w:r>
      <w:r w:rsidR="00995985" w:rsidRPr="00762E6E">
        <w:rPr>
          <w:rFonts w:ascii="Times New Roman" w:hAnsi="Times New Roman" w:cs="Times New Roman"/>
          <w:sz w:val="24"/>
          <w:szCs w:val="24"/>
        </w:rPr>
        <w:t xml:space="preserve"> </w:t>
      </w:r>
    </w:p>
    <w:p w:rsidR="00D60228" w:rsidRPr="00762E6E" w:rsidRDefault="00397741" w:rsidP="00F72129">
      <w:pPr>
        <w:spacing w:after="0"/>
        <w:jc w:val="both"/>
        <w:rPr>
          <w:rFonts w:ascii="Times New Roman" w:hAnsi="Times New Roman" w:cs="Times New Roman"/>
          <w:sz w:val="24"/>
          <w:szCs w:val="24"/>
        </w:rPr>
      </w:pPr>
      <w:r>
        <w:rPr>
          <w:rFonts w:ascii="Times New Roman" w:hAnsi="Times New Roman" w:cs="Times New Roman"/>
          <w:sz w:val="24"/>
          <w:szCs w:val="24"/>
        </w:rPr>
        <w:t>Cependant</w:t>
      </w:r>
      <w:r w:rsidR="00995985" w:rsidRPr="00762E6E">
        <w:rPr>
          <w:rFonts w:ascii="Times New Roman" w:hAnsi="Times New Roman" w:cs="Times New Roman"/>
          <w:sz w:val="24"/>
          <w:szCs w:val="24"/>
        </w:rPr>
        <w:t xml:space="preserve">, tout n’est pas rose, car </w:t>
      </w:r>
      <w:r w:rsidR="00A05C67" w:rsidRPr="00762E6E">
        <w:rPr>
          <w:rFonts w:ascii="Times New Roman" w:hAnsi="Times New Roman" w:cs="Times New Roman"/>
          <w:sz w:val="24"/>
          <w:szCs w:val="24"/>
        </w:rPr>
        <w:t xml:space="preserve">dans la pratique les choses sont différentes de même que </w:t>
      </w:r>
      <w:r w:rsidR="00995985" w:rsidRPr="00762E6E">
        <w:rPr>
          <w:rFonts w:ascii="Times New Roman" w:hAnsi="Times New Roman" w:cs="Times New Roman"/>
          <w:sz w:val="24"/>
          <w:szCs w:val="24"/>
        </w:rPr>
        <w:t xml:space="preserve">le code de la famille </w:t>
      </w:r>
      <w:r w:rsidR="00A05C67" w:rsidRPr="00762E6E">
        <w:rPr>
          <w:rFonts w:ascii="Times New Roman" w:hAnsi="Times New Roman" w:cs="Times New Roman"/>
          <w:sz w:val="24"/>
          <w:szCs w:val="24"/>
        </w:rPr>
        <w:t>ne favorise pas la situation</w:t>
      </w:r>
      <w:r w:rsidR="00995985" w:rsidRPr="00762E6E">
        <w:rPr>
          <w:rFonts w:ascii="Times New Roman" w:hAnsi="Times New Roman" w:cs="Times New Roman"/>
          <w:sz w:val="24"/>
          <w:szCs w:val="24"/>
        </w:rPr>
        <w:t>.</w:t>
      </w:r>
    </w:p>
    <w:p w:rsidR="00CB337F" w:rsidRPr="00762E6E" w:rsidRDefault="00CB337F" w:rsidP="00F72129">
      <w:pPr>
        <w:spacing w:after="0"/>
        <w:jc w:val="both"/>
        <w:rPr>
          <w:rFonts w:ascii="Times New Roman" w:hAnsi="Times New Roman" w:cs="Times New Roman"/>
          <w:b/>
          <w:sz w:val="24"/>
          <w:szCs w:val="24"/>
        </w:rPr>
      </w:pPr>
    </w:p>
    <w:p w:rsidR="00E11258" w:rsidRPr="004C5711" w:rsidRDefault="00CB337F" w:rsidP="004C5711">
      <w:pPr>
        <w:pStyle w:val="Titre2"/>
        <w:rPr>
          <w:rFonts w:ascii="Times New Roman" w:hAnsi="Times New Roman" w:cs="Times New Roman"/>
          <w:b/>
          <w:color w:val="000000" w:themeColor="text1"/>
          <w:sz w:val="24"/>
          <w:szCs w:val="24"/>
        </w:rPr>
      </w:pPr>
      <w:bookmarkStart w:id="7" w:name="_Toc505329018"/>
      <w:r w:rsidRPr="004C5711">
        <w:rPr>
          <w:rFonts w:ascii="Times New Roman" w:hAnsi="Times New Roman" w:cs="Times New Roman"/>
          <w:b/>
          <w:color w:val="000000" w:themeColor="text1"/>
          <w:sz w:val="24"/>
          <w:szCs w:val="24"/>
        </w:rPr>
        <w:t>3.2</w:t>
      </w:r>
      <w:r w:rsidRPr="004C5711">
        <w:rPr>
          <w:rFonts w:ascii="Times New Roman" w:hAnsi="Times New Roman" w:cs="Times New Roman"/>
          <w:b/>
          <w:color w:val="000000" w:themeColor="text1"/>
          <w:sz w:val="24"/>
          <w:szCs w:val="24"/>
        </w:rPr>
        <w:tab/>
      </w:r>
      <w:r w:rsidR="001B135C" w:rsidRPr="004C5711">
        <w:rPr>
          <w:rFonts w:ascii="Times New Roman" w:hAnsi="Times New Roman" w:cs="Times New Roman"/>
          <w:b/>
          <w:color w:val="000000" w:themeColor="text1"/>
          <w:sz w:val="24"/>
          <w:szCs w:val="24"/>
        </w:rPr>
        <w:t>Politiques entravant l’accès des femmes aux facteurs de production</w:t>
      </w:r>
      <w:bookmarkEnd w:id="7"/>
    </w:p>
    <w:p w:rsidR="00E11258" w:rsidRPr="004C5711" w:rsidRDefault="00CB337F" w:rsidP="004C5711">
      <w:pPr>
        <w:pStyle w:val="Titre3"/>
        <w:rPr>
          <w:rFonts w:ascii="Times New Roman" w:hAnsi="Times New Roman" w:cs="Times New Roman"/>
          <w:b/>
          <w:color w:val="000000" w:themeColor="text1"/>
        </w:rPr>
      </w:pPr>
      <w:bookmarkStart w:id="8" w:name="_Toc505329019"/>
      <w:r w:rsidRPr="004C5711">
        <w:rPr>
          <w:rFonts w:ascii="Times New Roman" w:hAnsi="Times New Roman" w:cs="Times New Roman"/>
          <w:b/>
          <w:color w:val="000000" w:themeColor="text1"/>
        </w:rPr>
        <w:t>3.2.1</w:t>
      </w:r>
      <w:r w:rsidRPr="004C5711">
        <w:rPr>
          <w:rFonts w:ascii="Times New Roman" w:hAnsi="Times New Roman" w:cs="Times New Roman"/>
          <w:b/>
          <w:color w:val="000000" w:themeColor="text1"/>
        </w:rPr>
        <w:tab/>
      </w:r>
      <w:r w:rsidR="00D54901">
        <w:rPr>
          <w:rFonts w:ascii="Times New Roman" w:hAnsi="Times New Roman" w:cs="Times New Roman"/>
          <w:b/>
          <w:color w:val="000000" w:themeColor="text1"/>
        </w:rPr>
        <w:t xml:space="preserve">Code </w:t>
      </w:r>
      <w:r w:rsidR="009115AE">
        <w:rPr>
          <w:rFonts w:ascii="Times New Roman" w:hAnsi="Times New Roman" w:cs="Times New Roman"/>
          <w:b/>
          <w:color w:val="000000" w:themeColor="text1"/>
        </w:rPr>
        <w:t>de</w:t>
      </w:r>
      <w:r w:rsidR="00E11258" w:rsidRPr="004C5711">
        <w:rPr>
          <w:rFonts w:ascii="Times New Roman" w:hAnsi="Times New Roman" w:cs="Times New Roman"/>
          <w:b/>
          <w:color w:val="000000" w:themeColor="text1"/>
        </w:rPr>
        <w:t xml:space="preserve"> la famille du Mali</w:t>
      </w:r>
      <w:bookmarkEnd w:id="8"/>
    </w:p>
    <w:p w:rsidR="00E11258" w:rsidRPr="00762E6E" w:rsidRDefault="002335A7" w:rsidP="00F72129">
      <w:pPr>
        <w:spacing w:after="0"/>
        <w:jc w:val="both"/>
        <w:rPr>
          <w:rFonts w:ascii="Times New Roman" w:hAnsi="Times New Roman" w:cs="Times New Roman"/>
          <w:b/>
          <w:sz w:val="24"/>
          <w:szCs w:val="24"/>
        </w:rPr>
      </w:pPr>
      <w:r>
        <w:rPr>
          <w:rFonts w:ascii="Times New Roman" w:eastAsia="Times New Roman" w:hAnsi="Times New Roman" w:cs="Times New Roman"/>
          <w:sz w:val="24"/>
          <w:szCs w:val="24"/>
          <w:lang w:eastAsia="fr-FR"/>
        </w:rPr>
        <w:t>Le</w:t>
      </w:r>
      <w:r w:rsidR="00A532A0">
        <w:rPr>
          <w:rFonts w:ascii="Times New Roman" w:eastAsia="Times New Roman" w:hAnsi="Times New Roman" w:cs="Times New Roman"/>
          <w:sz w:val="24"/>
          <w:szCs w:val="24"/>
          <w:lang w:eastAsia="fr-FR"/>
        </w:rPr>
        <w:t xml:space="preserve"> projet de</w:t>
      </w:r>
      <w:r w:rsidR="00E11258" w:rsidRPr="00762E6E">
        <w:rPr>
          <w:rFonts w:ascii="Times New Roman" w:eastAsia="Times New Roman" w:hAnsi="Times New Roman" w:cs="Times New Roman"/>
          <w:sz w:val="24"/>
          <w:szCs w:val="24"/>
          <w:lang w:eastAsia="fr-FR"/>
        </w:rPr>
        <w:t xml:space="preserve"> Code de la famille, qui avait fait l’objet de longues années de réflexion et de concertation entre les différents acteurs de la société malienne, avait été adopté par l’Assemblée </w:t>
      </w:r>
      <w:r w:rsidR="00E11258" w:rsidRPr="00762E6E">
        <w:rPr>
          <w:rFonts w:ascii="Times New Roman" w:eastAsia="Times New Roman" w:hAnsi="Times New Roman" w:cs="Times New Roman"/>
          <w:sz w:val="24"/>
          <w:szCs w:val="24"/>
          <w:lang w:eastAsia="fr-FR"/>
        </w:rPr>
        <w:lastRenderedPageBreak/>
        <w:t>nation</w:t>
      </w:r>
      <w:r w:rsidR="00101532" w:rsidRPr="00762E6E">
        <w:rPr>
          <w:rFonts w:ascii="Times New Roman" w:eastAsia="Times New Roman" w:hAnsi="Times New Roman" w:cs="Times New Roman"/>
          <w:sz w:val="24"/>
          <w:szCs w:val="24"/>
          <w:lang w:eastAsia="fr-FR"/>
        </w:rPr>
        <w:t>ale en août 2009. Sans</w:t>
      </w:r>
      <w:r w:rsidR="0039581E">
        <w:rPr>
          <w:rFonts w:ascii="Times New Roman" w:eastAsia="Times New Roman" w:hAnsi="Times New Roman" w:cs="Times New Roman"/>
          <w:sz w:val="24"/>
          <w:szCs w:val="24"/>
          <w:lang w:eastAsia="fr-FR"/>
        </w:rPr>
        <w:t xml:space="preserve"> l’égalité des sexes, </w:t>
      </w:r>
      <w:r w:rsidR="00E11258" w:rsidRPr="00762E6E">
        <w:rPr>
          <w:rFonts w:ascii="Times New Roman" w:eastAsia="Times New Roman" w:hAnsi="Times New Roman" w:cs="Times New Roman"/>
          <w:sz w:val="24"/>
          <w:szCs w:val="24"/>
          <w:lang w:eastAsia="fr-FR"/>
        </w:rPr>
        <w:t xml:space="preserve">il contenait toutefois d’importantes avancées. Mais à la suite de manifestations des forces les plus conservatrices, le Président Amadou </w:t>
      </w:r>
      <w:proofErr w:type="spellStart"/>
      <w:r w:rsidR="00E11258" w:rsidRPr="00762E6E">
        <w:rPr>
          <w:rFonts w:ascii="Times New Roman" w:eastAsia="Times New Roman" w:hAnsi="Times New Roman" w:cs="Times New Roman"/>
          <w:sz w:val="24"/>
          <w:szCs w:val="24"/>
          <w:lang w:eastAsia="fr-FR"/>
        </w:rPr>
        <w:t>Toumani</w:t>
      </w:r>
      <w:proofErr w:type="spellEnd"/>
      <w:r w:rsidR="00E11258" w:rsidRPr="00762E6E">
        <w:rPr>
          <w:rFonts w:ascii="Times New Roman" w:eastAsia="Times New Roman" w:hAnsi="Times New Roman" w:cs="Times New Roman"/>
          <w:sz w:val="24"/>
          <w:szCs w:val="24"/>
          <w:lang w:eastAsia="fr-FR"/>
        </w:rPr>
        <w:t xml:space="preserve"> Touré avait décidé de ne pas le promulguer et l’avait renvoyé en deuxième lecture. Au cours de la révision du texte, les dispositions centrales concernant l’âge du mariage, la garde des enfants, l’héritage ont subi des modifications telles qu’elles vont à l’encontre du principe même d’égalité des sexes.</w:t>
      </w:r>
    </w:p>
    <w:p w:rsidR="00E11258" w:rsidRPr="00762E6E" w:rsidRDefault="00E2718E" w:rsidP="00F72129">
      <w:pPr>
        <w:spacing w:after="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Selon le nouveau Code, «</w:t>
      </w:r>
      <w:r w:rsidR="00E11258" w:rsidRPr="00762E6E">
        <w:rPr>
          <w:rFonts w:ascii="Times New Roman" w:eastAsia="Times New Roman" w:hAnsi="Times New Roman" w:cs="Times New Roman"/>
          <w:sz w:val="24"/>
          <w:szCs w:val="24"/>
          <w:lang w:eastAsia="fr-FR"/>
        </w:rPr>
        <w:t>la f</w:t>
      </w:r>
      <w:r>
        <w:rPr>
          <w:rFonts w:ascii="Times New Roman" w:eastAsia="Times New Roman" w:hAnsi="Times New Roman" w:cs="Times New Roman"/>
          <w:sz w:val="24"/>
          <w:szCs w:val="24"/>
          <w:lang w:eastAsia="fr-FR"/>
        </w:rPr>
        <w:t>emme doit obéissance à son mari</w:t>
      </w:r>
      <w:r w:rsidR="00E11258" w:rsidRPr="00762E6E">
        <w:rPr>
          <w:rFonts w:ascii="Times New Roman" w:eastAsia="Times New Roman" w:hAnsi="Times New Roman" w:cs="Times New Roman"/>
          <w:sz w:val="24"/>
          <w:szCs w:val="24"/>
          <w:lang w:eastAsia="fr-FR"/>
        </w:rPr>
        <w:t>» et l’homme est consacr</w:t>
      </w:r>
      <w:r w:rsidR="00F72129">
        <w:rPr>
          <w:rFonts w:ascii="Times New Roman" w:eastAsia="Times New Roman" w:hAnsi="Times New Roman" w:cs="Times New Roman"/>
          <w:sz w:val="24"/>
          <w:szCs w:val="24"/>
          <w:lang w:eastAsia="fr-FR"/>
        </w:rPr>
        <w:t>é</w:t>
      </w:r>
      <w:r>
        <w:rPr>
          <w:rFonts w:ascii="Times New Roman" w:eastAsia="Times New Roman" w:hAnsi="Times New Roman" w:cs="Times New Roman"/>
          <w:sz w:val="24"/>
          <w:szCs w:val="24"/>
          <w:lang w:eastAsia="fr-FR"/>
        </w:rPr>
        <w:t xml:space="preserve"> comme unique chef de famille «puissance paternelle</w:t>
      </w:r>
      <w:r w:rsidR="00F72129">
        <w:rPr>
          <w:rFonts w:ascii="Times New Roman" w:eastAsia="Times New Roman" w:hAnsi="Times New Roman" w:cs="Times New Roman"/>
          <w:sz w:val="24"/>
          <w:szCs w:val="24"/>
          <w:lang w:eastAsia="fr-FR"/>
        </w:rPr>
        <w:t>»</w:t>
      </w:r>
      <w:r w:rsidR="00E11258" w:rsidRPr="00762E6E">
        <w:rPr>
          <w:rFonts w:ascii="Times New Roman" w:eastAsia="Times New Roman" w:hAnsi="Times New Roman" w:cs="Times New Roman"/>
          <w:sz w:val="24"/>
          <w:szCs w:val="24"/>
          <w:lang w:eastAsia="fr-FR"/>
        </w:rPr>
        <w:t xml:space="preserve"> (</w:t>
      </w:r>
      <w:r w:rsidR="00E11258" w:rsidRPr="008213B1">
        <w:rPr>
          <w:rFonts w:ascii="Times New Roman" w:eastAsia="Times New Roman" w:hAnsi="Times New Roman" w:cs="Times New Roman"/>
          <w:color w:val="000000" w:themeColor="text1"/>
          <w:sz w:val="24"/>
          <w:szCs w:val="24"/>
          <w:lang w:eastAsia="fr-FR"/>
        </w:rPr>
        <w:t xml:space="preserve">article 319). L’âge légal du mariage est de 18 ans pour l’homme et de 16 ans pour la femme (article 281). </w:t>
      </w:r>
      <w:r w:rsidR="00E11258" w:rsidRPr="00762E6E">
        <w:rPr>
          <w:rFonts w:ascii="Times New Roman" w:eastAsia="Times New Roman" w:hAnsi="Times New Roman" w:cs="Times New Roman"/>
          <w:sz w:val="24"/>
          <w:szCs w:val="24"/>
          <w:lang w:eastAsia="fr-FR"/>
        </w:rPr>
        <w:t>Par ailleurs, dans certains cas, le mariage peut être autorisé à partir de 15 ans. En outre, le mariage religieux est désormais juridiquement reconnu.</w:t>
      </w:r>
      <w:r w:rsidR="009D51C2" w:rsidRPr="00762E6E">
        <w:rPr>
          <w:rFonts w:ascii="Times New Roman" w:hAnsi="Times New Roman" w:cs="Times New Roman"/>
          <w:b/>
          <w:sz w:val="24"/>
          <w:szCs w:val="24"/>
        </w:rPr>
        <w:t xml:space="preserve"> </w:t>
      </w:r>
      <w:r w:rsidR="00E11258" w:rsidRPr="00762E6E">
        <w:rPr>
          <w:rFonts w:ascii="Times New Roman" w:hAnsi="Times New Roman" w:cs="Times New Roman"/>
          <w:sz w:val="24"/>
          <w:szCs w:val="24"/>
        </w:rPr>
        <w:t xml:space="preserve">Le choix de la résidence de la famille appartient au mari. La </w:t>
      </w:r>
      <w:r w:rsidR="00E11258" w:rsidRPr="00762E6E">
        <w:rPr>
          <w:rFonts w:ascii="Times New Roman" w:eastAsia="Times New Roman" w:hAnsi="Times New Roman" w:cs="Times New Roman"/>
          <w:sz w:val="24"/>
          <w:szCs w:val="24"/>
          <w:lang w:eastAsia="fr-FR"/>
        </w:rPr>
        <w:t>femme est tenue d’habiter avec lui et il est tenu de la recevoir</w:t>
      </w:r>
      <w:r w:rsidR="009D51C2" w:rsidRPr="00762E6E">
        <w:rPr>
          <w:rFonts w:ascii="Times New Roman" w:eastAsia="Times New Roman" w:hAnsi="Times New Roman" w:cs="Times New Roman"/>
          <w:sz w:val="24"/>
          <w:szCs w:val="24"/>
          <w:lang w:eastAsia="fr-FR"/>
        </w:rPr>
        <w:t>.</w:t>
      </w:r>
    </w:p>
    <w:p w:rsidR="009D51C2" w:rsidRPr="00762E6E" w:rsidRDefault="009D51C2" w:rsidP="00F72129">
      <w:pPr>
        <w:spacing w:after="0"/>
        <w:jc w:val="both"/>
        <w:rPr>
          <w:rFonts w:ascii="Times New Roman" w:eastAsia="Times New Roman" w:hAnsi="Times New Roman" w:cs="Times New Roman"/>
          <w:sz w:val="24"/>
          <w:szCs w:val="24"/>
          <w:lang w:eastAsia="fr-FR"/>
        </w:rPr>
      </w:pPr>
      <w:r w:rsidRPr="00762E6E">
        <w:rPr>
          <w:rFonts w:ascii="Times New Roman" w:eastAsia="Times New Roman" w:hAnsi="Times New Roman" w:cs="Times New Roman"/>
          <w:sz w:val="24"/>
          <w:szCs w:val="24"/>
          <w:lang w:eastAsia="fr-FR"/>
        </w:rPr>
        <w:t xml:space="preserve">Ces points ci-dessus énumérés constituent </w:t>
      </w:r>
      <w:r w:rsidR="001B4076" w:rsidRPr="00762E6E">
        <w:rPr>
          <w:rFonts w:ascii="Times New Roman" w:eastAsia="Times New Roman" w:hAnsi="Times New Roman" w:cs="Times New Roman"/>
          <w:sz w:val="24"/>
          <w:szCs w:val="24"/>
          <w:lang w:eastAsia="fr-FR"/>
        </w:rPr>
        <w:t xml:space="preserve">le </w:t>
      </w:r>
      <w:r w:rsidRPr="00762E6E">
        <w:rPr>
          <w:rFonts w:ascii="Times New Roman" w:eastAsia="Times New Roman" w:hAnsi="Times New Roman" w:cs="Times New Roman"/>
          <w:sz w:val="24"/>
          <w:szCs w:val="24"/>
          <w:lang w:eastAsia="fr-FR"/>
        </w:rPr>
        <w:t>plus grand problème, d’une part pour la prise de décision au niveau du ménage et d’autre part pour l’accès et le contrôle des ressources du ménage (terres, équipements agricole</w:t>
      </w:r>
      <w:r w:rsidR="00ED0621" w:rsidRPr="00762E6E">
        <w:rPr>
          <w:rFonts w:ascii="Times New Roman" w:eastAsia="Times New Roman" w:hAnsi="Times New Roman" w:cs="Times New Roman"/>
          <w:sz w:val="24"/>
          <w:szCs w:val="24"/>
          <w:lang w:eastAsia="fr-FR"/>
        </w:rPr>
        <w:t>s</w:t>
      </w:r>
      <w:r w:rsidRPr="00762E6E">
        <w:rPr>
          <w:rFonts w:ascii="Times New Roman" w:eastAsia="Times New Roman" w:hAnsi="Times New Roman" w:cs="Times New Roman"/>
          <w:sz w:val="24"/>
          <w:szCs w:val="24"/>
          <w:lang w:eastAsia="fr-FR"/>
        </w:rPr>
        <w:t xml:space="preserve">, intrants et ressources financières). </w:t>
      </w:r>
    </w:p>
    <w:p w:rsidR="00E11258" w:rsidRPr="00762E6E" w:rsidRDefault="00E11258" w:rsidP="00F72129">
      <w:pPr>
        <w:spacing w:after="0"/>
        <w:jc w:val="both"/>
        <w:rPr>
          <w:rFonts w:ascii="Times New Roman" w:eastAsia="Times New Roman" w:hAnsi="Times New Roman" w:cs="Times New Roman"/>
          <w:sz w:val="24"/>
          <w:szCs w:val="24"/>
          <w:lang w:eastAsia="fr-FR"/>
        </w:rPr>
      </w:pPr>
      <w:r w:rsidRPr="00762E6E">
        <w:rPr>
          <w:rFonts w:ascii="Times New Roman" w:eastAsia="Times New Roman" w:hAnsi="Times New Roman" w:cs="Times New Roman"/>
          <w:sz w:val="24"/>
          <w:szCs w:val="24"/>
          <w:lang w:eastAsia="fr-FR"/>
        </w:rPr>
        <w:t>Le nouveau code viole gravement les obligations internationales du Mali, consacrées par la Convention des Nations unies sur l’élimination de toutes les formes de discrimination à l’égard des f</w:t>
      </w:r>
      <w:r w:rsidR="00967998" w:rsidRPr="00762E6E">
        <w:rPr>
          <w:rFonts w:ascii="Times New Roman" w:eastAsia="Times New Roman" w:hAnsi="Times New Roman" w:cs="Times New Roman"/>
          <w:sz w:val="24"/>
          <w:szCs w:val="24"/>
          <w:lang w:eastAsia="fr-FR"/>
        </w:rPr>
        <w:t>emmes (CEDAW), ratifiée en 1985</w:t>
      </w:r>
      <w:r w:rsidRPr="00762E6E">
        <w:rPr>
          <w:rFonts w:ascii="Times New Roman" w:eastAsia="Times New Roman" w:hAnsi="Times New Roman" w:cs="Times New Roman"/>
          <w:sz w:val="24"/>
          <w:szCs w:val="24"/>
          <w:lang w:eastAsia="fr-FR"/>
        </w:rPr>
        <w:t xml:space="preserve"> et le Protocole à la Charte africaine des droits de l’Homme et des peuples relatif aux droits des femmes, ratifié en 2005.</w:t>
      </w:r>
    </w:p>
    <w:p w:rsidR="00E11258" w:rsidRPr="00762E6E" w:rsidRDefault="008E08FF" w:rsidP="00F72129">
      <w:pPr>
        <w:spacing w:after="0"/>
        <w:jc w:val="both"/>
        <w:rPr>
          <w:rFonts w:ascii="Times New Roman" w:eastAsia="Times New Roman" w:hAnsi="Times New Roman" w:cs="Times New Roman"/>
          <w:sz w:val="24"/>
          <w:szCs w:val="24"/>
          <w:lang w:eastAsia="fr-FR"/>
        </w:rPr>
      </w:pPr>
      <w:r w:rsidRPr="00762E6E">
        <w:rPr>
          <w:rFonts w:ascii="Times New Roman" w:eastAsia="Times New Roman" w:hAnsi="Times New Roman" w:cs="Times New Roman"/>
          <w:sz w:val="24"/>
          <w:szCs w:val="24"/>
          <w:lang w:eastAsia="fr-FR"/>
        </w:rPr>
        <w:t xml:space="preserve">Le code de la famille qui </w:t>
      </w:r>
      <w:r w:rsidR="00511D49" w:rsidRPr="00762E6E">
        <w:rPr>
          <w:rFonts w:ascii="Times New Roman" w:eastAsia="Times New Roman" w:hAnsi="Times New Roman" w:cs="Times New Roman"/>
          <w:sz w:val="24"/>
          <w:szCs w:val="24"/>
          <w:lang w:eastAsia="fr-FR"/>
        </w:rPr>
        <w:t>discrimine</w:t>
      </w:r>
      <w:r w:rsidRPr="00762E6E">
        <w:rPr>
          <w:rFonts w:ascii="Times New Roman" w:eastAsia="Times New Roman" w:hAnsi="Times New Roman" w:cs="Times New Roman"/>
          <w:sz w:val="24"/>
          <w:szCs w:val="24"/>
          <w:lang w:eastAsia="fr-FR"/>
        </w:rPr>
        <w:t xml:space="preserve"> la femme est malheureusement </w:t>
      </w:r>
      <w:r w:rsidR="001B4076" w:rsidRPr="00762E6E">
        <w:rPr>
          <w:rFonts w:ascii="Times New Roman" w:eastAsia="Times New Roman" w:hAnsi="Times New Roman" w:cs="Times New Roman"/>
          <w:sz w:val="24"/>
          <w:szCs w:val="24"/>
          <w:lang w:eastAsia="fr-FR"/>
        </w:rPr>
        <w:t xml:space="preserve">le </w:t>
      </w:r>
      <w:r w:rsidRPr="00762E6E">
        <w:rPr>
          <w:rFonts w:ascii="Times New Roman" w:eastAsia="Times New Roman" w:hAnsi="Times New Roman" w:cs="Times New Roman"/>
          <w:sz w:val="24"/>
          <w:szCs w:val="24"/>
          <w:lang w:eastAsia="fr-FR"/>
        </w:rPr>
        <w:t>plus largement diffusé à travers le</w:t>
      </w:r>
      <w:r w:rsidR="001B4076" w:rsidRPr="00762E6E">
        <w:rPr>
          <w:rFonts w:ascii="Times New Roman" w:eastAsia="Times New Roman" w:hAnsi="Times New Roman" w:cs="Times New Roman"/>
          <w:sz w:val="24"/>
          <w:szCs w:val="24"/>
          <w:lang w:eastAsia="fr-FR"/>
        </w:rPr>
        <w:t>s</w:t>
      </w:r>
      <w:r w:rsidRPr="00762E6E">
        <w:rPr>
          <w:rFonts w:ascii="Times New Roman" w:eastAsia="Times New Roman" w:hAnsi="Times New Roman" w:cs="Times New Roman"/>
          <w:sz w:val="24"/>
          <w:szCs w:val="24"/>
          <w:lang w:eastAsia="fr-FR"/>
        </w:rPr>
        <w:t xml:space="preserve"> mariage</w:t>
      </w:r>
      <w:r w:rsidR="001B4076" w:rsidRPr="00762E6E">
        <w:rPr>
          <w:rFonts w:ascii="Times New Roman" w:eastAsia="Times New Roman" w:hAnsi="Times New Roman" w:cs="Times New Roman"/>
          <w:sz w:val="24"/>
          <w:szCs w:val="24"/>
          <w:lang w:eastAsia="fr-FR"/>
        </w:rPr>
        <w:t>s</w:t>
      </w:r>
      <w:r w:rsidRPr="00762E6E">
        <w:rPr>
          <w:rFonts w:ascii="Times New Roman" w:eastAsia="Times New Roman" w:hAnsi="Times New Roman" w:cs="Times New Roman"/>
          <w:sz w:val="24"/>
          <w:szCs w:val="24"/>
          <w:lang w:eastAsia="fr-FR"/>
        </w:rPr>
        <w:t xml:space="preserve"> par rapport à la LOA très peu connu  par la population notamment les femmes et les jeunes. </w:t>
      </w:r>
    </w:p>
    <w:p w:rsidR="00DC5558" w:rsidRDefault="001B4076" w:rsidP="00F72129">
      <w:pPr>
        <w:spacing w:after="0"/>
        <w:jc w:val="both"/>
        <w:rPr>
          <w:rFonts w:ascii="Times New Roman" w:eastAsia="Times New Roman" w:hAnsi="Times New Roman" w:cs="Times New Roman"/>
          <w:sz w:val="24"/>
          <w:szCs w:val="24"/>
          <w:lang w:eastAsia="fr-FR"/>
        </w:rPr>
      </w:pPr>
      <w:r w:rsidRPr="00762E6E">
        <w:rPr>
          <w:rFonts w:ascii="Times New Roman" w:eastAsia="Times New Roman" w:hAnsi="Times New Roman" w:cs="Times New Roman"/>
          <w:sz w:val="24"/>
          <w:szCs w:val="24"/>
          <w:lang w:eastAsia="fr-FR"/>
        </w:rPr>
        <w:t>Aussi</w:t>
      </w:r>
      <w:r w:rsidR="008429F6" w:rsidRPr="00762E6E">
        <w:rPr>
          <w:rFonts w:ascii="Times New Roman" w:eastAsia="Times New Roman" w:hAnsi="Times New Roman" w:cs="Times New Roman"/>
          <w:sz w:val="24"/>
          <w:szCs w:val="24"/>
          <w:lang w:eastAsia="fr-FR"/>
        </w:rPr>
        <w:t>, il est important de signaler qu’il existe un écart entre ce contexte politique et la</w:t>
      </w:r>
      <w:r w:rsidR="003C507B" w:rsidRPr="00762E6E">
        <w:rPr>
          <w:rFonts w:ascii="Times New Roman" w:eastAsia="Times New Roman" w:hAnsi="Times New Roman" w:cs="Times New Roman"/>
          <w:sz w:val="24"/>
          <w:szCs w:val="24"/>
          <w:lang w:eastAsia="fr-FR"/>
        </w:rPr>
        <w:t xml:space="preserve"> </w:t>
      </w:r>
      <w:r w:rsidR="008429F6" w:rsidRPr="00762E6E">
        <w:rPr>
          <w:rFonts w:ascii="Times New Roman" w:eastAsia="Times New Roman" w:hAnsi="Times New Roman" w:cs="Times New Roman"/>
          <w:sz w:val="24"/>
          <w:szCs w:val="24"/>
          <w:lang w:eastAsia="fr-FR"/>
        </w:rPr>
        <w:t xml:space="preserve">réalité sur le terrain </w:t>
      </w:r>
      <w:r w:rsidR="003C507B" w:rsidRPr="00762E6E">
        <w:rPr>
          <w:rFonts w:ascii="Times New Roman" w:eastAsia="Times New Roman" w:hAnsi="Times New Roman" w:cs="Times New Roman"/>
          <w:sz w:val="24"/>
          <w:szCs w:val="24"/>
          <w:lang w:eastAsia="fr-FR"/>
        </w:rPr>
        <w:t>dont le fonctionnement est basé sur les règles sociales, traditionnelles, coutumières</w:t>
      </w:r>
      <w:r w:rsidR="00A05C67" w:rsidRPr="00762E6E">
        <w:rPr>
          <w:rFonts w:ascii="Times New Roman" w:eastAsia="Times New Roman" w:hAnsi="Times New Roman" w:cs="Times New Roman"/>
          <w:sz w:val="24"/>
          <w:szCs w:val="24"/>
          <w:lang w:eastAsia="fr-FR"/>
        </w:rPr>
        <w:t xml:space="preserve"> (poids de la tradition)</w:t>
      </w:r>
      <w:r w:rsidR="003C507B" w:rsidRPr="00762E6E">
        <w:rPr>
          <w:rFonts w:ascii="Times New Roman" w:eastAsia="Times New Roman" w:hAnsi="Times New Roman" w:cs="Times New Roman"/>
          <w:sz w:val="24"/>
          <w:szCs w:val="24"/>
          <w:lang w:eastAsia="fr-FR"/>
        </w:rPr>
        <w:t xml:space="preserve">, etc. </w:t>
      </w:r>
    </w:p>
    <w:p w:rsidR="00046C31" w:rsidRPr="00762E6E" w:rsidRDefault="00046C31" w:rsidP="00F72129">
      <w:pPr>
        <w:spacing w:after="0"/>
        <w:jc w:val="both"/>
        <w:rPr>
          <w:rFonts w:ascii="Times New Roman" w:eastAsia="Times New Roman" w:hAnsi="Times New Roman" w:cs="Times New Roman"/>
          <w:sz w:val="24"/>
          <w:szCs w:val="24"/>
          <w:lang w:eastAsia="fr-FR"/>
        </w:rPr>
      </w:pPr>
    </w:p>
    <w:p w:rsidR="00046C31" w:rsidRPr="004C5711" w:rsidRDefault="00046C31" w:rsidP="00046C31">
      <w:pPr>
        <w:pStyle w:val="Titre3"/>
        <w:rPr>
          <w:rFonts w:ascii="Times New Roman" w:hAnsi="Times New Roman" w:cs="Times New Roman"/>
          <w:b/>
          <w:color w:val="000000" w:themeColor="text1"/>
        </w:rPr>
      </w:pPr>
      <w:bookmarkStart w:id="9" w:name="_Toc505329020"/>
      <w:r w:rsidRPr="004C5711">
        <w:rPr>
          <w:rFonts w:ascii="Times New Roman" w:hAnsi="Times New Roman" w:cs="Times New Roman"/>
          <w:b/>
          <w:color w:val="000000" w:themeColor="text1"/>
        </w:rPr>
        <w:t>3.2.</w:t>
      </w:r>
      <w:r>
        <w:rPr>
          <w:rFonts w:ascii="Times New Roman" w:hAnsi="Times New Roman" w:cs="Times New Roman"/>
          <w:b/>
          <w:color w:val="000000" w:themeColor="text1"/>
        </w:rPr>
        <w:t>2</w:t>
      </w:r>
      <w:r w:rsidRPr="004C5711">
        <w:rPr>
          <w:rFonts w:ascii="Times New Roman" w:hAnsi="Times New Roman" w:cs="Times New Roman"/>
          <w:b/>
          <w:color w:val="000000" w:themeColor="text1"/>
        </w:rPr>
        <w:tab/>
        <w:t>Poids de la tradition, des us et coutumes</w:t>
      </w:r>
      <w:bookmarkEnd w:id="9"/>
    </w:p>
    <w:p w:rsidR="00046C31" w:rsidRPr="00762E6E" w:rsidRDefault="00046C31" w:rsidP="00046C31">
      <w:pPr>
        <w:spacing w:after="0"/>
        <w:jc w:val="both"/>
        <w:rPr>
          <w:rFonts w:ascii="Times New Roman" w:hAnsi="Times New Roman" w:cs="Times New Roman"/>
          <w:sz w:val="24"/>
          <w:szCs w:val="24"/>
        </w:rPr>
      </w:pPr>
      <w:r w:rsidRPr="00762E6E">
        <w:rPr>
          <w:rFonts w:ascii="Times New Roman" w:hAnsi="Times New Roman" w:cs="Times New Roman"/>
          <w:sz w:val="24"/>
          <w:szCs w:val="24"/>
        </w:rPr>
        <w:t xml:space="preserve">En fonction des zones agro-écologiques et/ou des ethnies, il y a plusieurs systèmes de gestion coutumière des terres au Mali. Malgré la diversité des zones et des ethnies, les principes de gestion et les modes d’accès à la terre sont partagés sur l’étendue du territoire national. Dans les différentes régions du Mali, </w:t>
      </w:r>
      <w:r w:rsidRPr="00C93ADE">
        <w:rPr>
          <w:rFonts w:ascii="Times New Roman" w:hAnsi="Times New Roman" w:cs="Times New Roman"/>
          <w:sz w:val="24"/>
          <w:szCs w:val="24"/>
        </w:rPr>
        <w:t>l’organisation sociale</w:t>
      </w:r>
      <w:r w:rsidRPr="00762E6E">
        <w:rPr>
          <w:rFonts w:ascii="Times New Roman" w:hAnsi="Times New Roman" w:cs="Times New Roman"/>
          <w:sz w:val="24"/>
          <w:szCs w:val="24"/>
        </w:rPr>
        <w:t xml:space="preserve"> est fondée sur la prise en compte des liens de sang, la prééminence des aînés sur les cadets, </w:t>
      </w:r>
      <w:r w:rsidRPr="00682D65">
        <w:rPr>
          <w:rFonts w:ascii="Times New Roman" w:hAnsi="Times New Roman" w:cs="Times New Roman"/>
          <w:i/>
          <w:sz w:val="24"/>
          <w:szCs w:val="24"/>
        </w:rPr>
        <w:t>des hommes sur les femmes</w:t>
      </w:r>
      <w:r w:rsidRPr="00762E6E">
        <w:rPr>
          <w:rFonts w:ascii="Times New Roman" w:hAnsi="Times New Roman" w:cs="Times New Roman"/>
          <w:sz w:val="24"/>
          <w:szCs w:val="24"/>
        </w:rPr>
        <w:t xml:space="preserve"> et dans une certaine mesure, le statut d'autochtone ou d'étranger. Ces principes guident l'organisation et le fonctionnement des institutions villageoises et partant toute la structuration socio- foncière rurale.  </w:t>
      </w:r>
    </w:p>
    <w:p w:rsidR="00046C31" w:rsidRPr="00762E6E" w:rsidRDefault="00046C31" w:rsidP="00046C31">
      <w:pPr>
        <w:spacing w:after="0"/>
        <w:jc w:val="both"/>
        <w:rPr>
          <w:rFonts w:ascii="Times New Roman" w:hAnsi="Times New Roman" w:cs="Times New Roman"/>
          <w:sz w:val="24"/>
          <w:szCs w:val="24"/>
        </w:rPr>
      </w:pPr>
      <w:r w:rsidRPr="00762E6E">
        <w:rPr>
          <w:rFonts w:ascii="Times New Roman" w:hAnsi="Times New Roman" w:cs="Times New Roman"/>
          <w:sz w:val="24"/>
          <w:szCs w:val="24"/>
        </w:rPr>
        <w:t>D’une manière générale, il existe deux modes d’accès à la terre au Mali : l’accès à travers les modes mis en place par le C</w:t>
      </w:r>
      <w:r w:rsidR="00682D65">
        <w:rPr>
          <w:rFonts w:ascii="Times New Roman" w:hAnsi="Times New Roman" w:cs="Times New Roman"/>
          <w:sz w:val="24"/>
          <w:szCs w:val="24"/>
        </w:rPr>
        <w:t xml:space="preserve">ode </w:t>
      </w:r>
      <w:r w:rsidRPr="00762E6E">
        <w:rPr>
          <w:rFonts w:ascii="Times New Roman" w:hAnsi="Times New Roman" w:cs="Times New Roman"/>
          <w:sz w:val="24"/>
          <w:szCs w:val="24"/>
        </w:rPr>
        <w:t>D</w:t>
      </w:r>
      <w:r w:rsidR="00682D65">
        <w:rPr>
          <w:rFonts w:ascii="Times New Roman" w:hAnsi="Times New Roman" w:cs="Times New Roman"/>
          <w:sz w:val="24"/>
          <w:szCs w:val="24"/>
        </w:rPr>
        <w:t xml:space="preserve">omanial </w:t>
      </w:r>
      <w:r w:rsidRPr="00762E6E">
        <w:rPr>
          <w:rFonts w:ascii="Times New Roman" w:hAnsi="Times New Roman" w:cs="Times New Roman"/>
          <w:sz w:val="24"/>
          <w:szCs w:val="24"/>
        </w:rPr>
        <w:t>F</w:t>
      </w:r>
      <w:r w:rsidR="00682D65">
        <w:rPr>
          <w:rFonts w:ascii="Times New Roman" w:hAnsi="Times New Roman" w:cs="Times New Roman"/>
          <w:sz w:val="24"/>
          <w:szCs w:val="24"/>
        </w:rPr>
        <w:t>oncier (</w:t>
      </w:r>
      <w:r w:rsidR="00682D65" w:rsidRPr="00F567D3">
        <w:rPr>
          <w:rFonts w:ascii="Times New Roman" w:hAnsi="Times New Roman" w:cs="Times New Roman"/>
          <w:sz w:val="24"/>
          <w:szCs w:val="24"/>
        </w:rPr>
        <w:t>CDF</w:t>
      </w:r>
      <w:r w:rsidR="00682D65">
        <w:rPr>
          <w:rFonts w:ascii="Times New Roman" w:hAnsi="Times New Roman" w:cs="Times New Roman"/>
          <w:sz w:val="24"/>
          <w:szCs w:val="24"/>
        </w:rPr>
        <w:t>)</w:t>
      </w:r>
      <w:r w:rsidRPr="00762E6E">
        <w:rPr>
          <w:rFonts w:ascii="Times New Roman" w:hAnsi="Times New Roman" w:cs="Times New Roman"/>
          <w:sz w:val="24"/>
          <w:szCs w:val="24"/>
        </w:rPr>
        <w:t xml:space="preserve">, et l’accès à travers les dispositifs coutumiers (accès intra lignager, prêt, don, etc.). </w:t>
      </w:r>
    </w:p>
    <w:p w:rsidR="00046C31" w:rsidRPr="00762E6E" w:rsidRDefault="00046C31" w:rsidP="00046C31">
      <w:pPr>
        <w:jc w:val="both"/>
        <w:rPr>
          <w:rFonts w:ascii="Times New Roman" w:hAnsi="Times New Roman" w:cs="Times New Roman"/>
          <w:sz w:val="24"/>
          <w:szCs w:val="24"/>
        </w:rPr>
      </w:pPr>
      <w:r w:rsidRPr="00762E6E">
        <w:rPr>
          <w:rFonts w:ascii="Times New Roman" w:hAnsi="Times New Roman" w:cs="Times New Roman"/>
          <w:sz w:val="24"/>
          <w:szCs w:val="24"/>
        </w:rPr>
        <w:t xml:space="preserve">L’organisation sociale de la société dans les sites de l’étude, fondée sur la dominance des aînés sur les frères et la dominance de l’homme sur la femme. Dans la tradition, la femme doit respect et obéissance à son mari (homme). La prise de décision importante revient à l’homme. </w:t>
      </w:r>
      <w:r w:rsidR="000016BC">
        <w:rPr>
          <w:rFonts w:ascii="Times New Roman" w:hAnsi="Times New Roman" w:cs="Times New Roman"/>
          <w:sz w:val="24"/>
          <w:szCs w:val="24"/>
        </w:rPr>
        <w:t xml:space="preserve">Selon la tradition </w:t>
      </w:r>
      <w:r w:rsidR="00D1290D">
        <w:rPr>
          <w:rFonts w:ascii="Times New Roman" w:hAnsi="Times New Roman" w:cs="Times New Roman"/>
          <w:sz w:val="24"/>
          <w:szCs w:val="24"/>
        </w:rPr>
        <w:t xml:space="preserve">dans les zones d’étude, </w:t>
      </w:r>
      <w:r w:rsidR="000016BC">
        <w:rPr>
          <w:rFonts w:ascii="Times New Roman" w:hAnsi="Times New Roman" w:cs="Times New Roman"/>
          <w:sz w:val="24"/>
          <w:szCs w:val="24"/>
        </w:rPr>
        <w:t>la répartition des terres</w:t>
      </w:r>
      <w:r w:rsidR="00D1290D">
        <w:rPr>
          <w:rFonts w:ascii="Times New Roman" w:hAnsi="Times New Roman" w:cs="Times New Roman"/>
          <w:sz w:val="24"/>
          <w:szCs w:val="24"/>
        </w:rPr>
        <w:t xml:space="preserve"> entre enfants</w:t>
      </w:r>
      <w:r w:rsidR="000016BC">
        <w:rPr>
          <w:rFonts w:ascii="Times New Roman" w:hAnsi="Times New Roman" w:cs="Times New Roman"/>
          <w:sz w:val="24"/>
          <w:szCs w:val="24"/>
        </w:rPr>
        <w:t xml:space="preserve"> ne </w:t>
      </w:r>
      <w:r w:rsidR="00D1290D">
        <w:rPr>
          <w:rFonts w:ascii="Times New Roman" w:hAnsi="Times New Roman" w:cs="Times New Roman"/>
          <w:sz w:val="24"/>
          <w:szCs w:val="24"/>
        </w:rPr>
        <w:t>considère pas</w:t>
      </w:r>
      <w:r w:rsidR="00D1290D" w:rsidRPr="00D1290D">
        <w:rPr>
          <w:rFonts w:ascii="Times New Roman" w:hAnsi="Times New Roman" w:cs="Times New Roman"/>
          <w:sz w:val="24"/>
          <w:szCs w:val="24"/>
        </w:rPr>
        <w:t xml:space="preserve"> </w:t>
      </w:r>
      <w:r w:rsidR="00D1290D">
        <w:rPr>
          <w:rFonts w:ascii="Times New Roman" w:hAnsi="Times New Roman" w:cs="Times New Roman"/>
          <w:sz w:val="24"/>
          <w:szCs w:val="24"/>
        </w:rPr>
        <w:t xml:space="preserve">les </w:t>
      </w:r>
      <w:r w:rsidR="00D1290D">
        <w:rPr>
          <w:rFonts w:ascii="Times New Roman" w:hAnsi="Times New Roman" w:cs="Times New Roman"/>
          <w:sz w:val="24"/>
          <w:szCs w:val="24"/>
        </w:rPr>
        <w:lastRenderedPageBreak/>
        <w:t>femmes</w:t>
      </w:r>
      <w:r w:rsidR="000016BC">
        <w:rPr>
          <w:rFonts w:ascii="Times New Roman" w:hAnsi="Times New Roman" w:cs="Times New Roman"/>
          <w:sz w:val="24"/>
          <w:szCs w:val="24"/>
        </w:rPr>
        <w:t xml:space="preserve">, car elles sont supposées aller dans d’autres foyers (ménages). </w:t>
      </w:r>
      <w:r w:rsidRPr="00762E6E">
        <w:rPr>
          <w:rFonts w:ascii="Times New Roman" w:hAnsi="Times New Roman" w:cs="Times New Roman"/>
          <w:sz w:val="24"/>
          <w:szCs w:val="24"/>
        </w:rPr>
        <w:t xml:space="preserve">C’est là justement que le problème d’accès des femmes et des jeunes aux facteurs de production se pose. </w:t>
      </w:r>
    </w:p>
    <w:p w:rsidR="00D60193" w:rsidRPr="004C5711" w:rsidRDefault="00CB337F" w:rsidP="004C5711">
      <w:pPr>
        <w:pStyle w:val="Titre3"/>
        <w:rPr>
          <w:rFonts w:ascii="Times New Roman" w:hAnsi="Times New Roman" w:cs="Times New Roman"/>
          <w:b/>
          <w:color w:val="000000" w:themeColor="text1"/>
        </w:rPr>
      </w:pPr>
      <w:bookmarkStart w:id="10" w:name="_Toc505329021"/>
      <w:r w:rsidRPr="004C5711">
        <w:rPr>
          <w:rFonts w:ascii="Times New Roman" w:hAnsi="Times New Roman" w:cs="Times New Roman"/>
          <w:b/>
          <w:color w:val="000000" w:themeColor="text1"/>
        </w:rPr>
        <w:t>3.2.</w:t>
      </w:r>
      <w:r w:rsidR="00046C31">
        <w:rPr>
          <w:rFonts w:ascii="Times New Roman" w:hAnsi="Times New Roman" w:cs="Times New Roman"/>
          <w:b/>
          <w:color w:val="000000" w:themeColor="text1"/>
        </w:rPr>
        <w:t>3</w:t>
      </w:r>
      <w:r w:rsidRPr="004C5711">
        <w:rPr>
          <w:rFonts w:ascii="Times New Roman" w:hAnsi="Times New Roman" w:cs="Times New Roman"/>
          <w:b/>
          <w:color w:val="000000" w:themeColor="text1"/>
        </w:rPr>
        <w:tab/>
      </w:r>
      <w:r w:rsidR="00AB0D07" w:rsidRPr="00F567D3">
        <w:rPr>
          <w:rFonts w:ascii="Times New Roman" w:hAnsi="Times New Roman" w:cs="Times New Roman"/>
          <w:b/>
          <w:color w:val="000000" w:themeColor="text1"/>
        </w:rPr>
        <w:t>Accès à la t</w:t>
      </w:r>
      <w:r w:rsidR="00D60193" w:rsidRPr="00F567D3">
        <w:rPr>
          <w:rFonts w:ascii="Times New Roman" w:hAnsi="Times New Roman" w:cs="Times New Roman"/>
          <w:b/>
          <w:color w:val="000000" w:themeColor="text1"/>
        </w:rPr>
        <w:t>erre</w:t>
      </w:r>
      <w:r w:rsidR="00AB0D07" w:rsidRPr="00F567D3">
        <w:rPr>
          <w:rFonts w:ascii="Times New Roman" w:hAnsi="Times New Roman" w:cs="Times New Roman"/>
          <w:b/>
          <w:color w:val="000000" w:themeColor="text1"/>
        </w:rPr>
        <w:t xml:space="preserve"> agricole</w:t>
      </w:r>
      <w:r w:rsidR="00DD6144">
        <w:rPr>
          <w:rFonts w:ascii="Times New Roman" w:hAnsi="Times New Roman" w:cs="Times New Roman"/>
          <w:b/>
          <w:color w:val="000000" w:themeColor="text1"/>
        </w:rPr>
        <w:t xml:space="preserve"> (Code domanial et foncier du Mali, </w:t>
      </w:r>
      <w:r w:rsidR="00DD6144" w:rsidRPr="00DD6144">
        <w:rPr>
          <w:rFonts w:ascii="Times New Roman" w:hAnsi="Times New Roman" w:cs="Times New Roman"/>
          <w:b/>
          <w:color w:val="000000" w:themeColor="text1"/>
        </w:rPr>
        <w:t>Ordonnance n°00-027 du 22 mars 2000</w:t>
      </w:r>
      <w:r w:rsidR="00DD6144">
        <w:rPr>
          <w:rFonts w:ascii="Times New Roman" w:hAnsi="Times New Roman" w:cs="Times New Roman"/>
          <w:b/>
          <w:color w:val="000000" w:themeColor="text1"/>
        </w:rPr>
        <w:t>)</w:t>
      </w:r>
      <w:bookmarkEnd w:id="10"/>
    </w:p>
    <w:p w:rsidR="006C682B" w:rsidRDefault="006C682B" w:rsidP="00046C31">
      <w:pPr>
        <w:spacing w:after="0"/>
        <w:jc w:val="both"/>
        <w:rPr>
          <w:rFonts w:ascii="Times New Roman" w:hAnsi="Times New Roman" w:cs="Times New Roman"/>
          <w:b/>
          <w:sz w:val="24"/>
          <w:szCs w:val="24"/>
        </w:rPr>
      </w:pPr>
    </w:p>
    <w:p w:rsidR="008B0EE2" w:rsidRPr="00046C31" w:rsidRDefault="008B0EE2" w:rsidP="00046C31">
      <w:pPr>
        <w:spacing w:after="0"/>
        <w:jc w:val="both"/>
        <w:rPr>
          <w:rFonts w:ascii="Times New Roman" w:hAnsi="Times New Roman" w:cs="Times New Roman"/>
          <w:b/>
          <w:sz w:val="24"/>
          <w:szCs w:val="24"/>
        </w:rPr>
      </w:pPr>
      <w:r w:rsidRPr="00046C31">
        <w:rPr>
          <w:rFonts w:ascii="Times New Roman" w:hAnsi="Times New Roman" w:cs="Times New Roman"/>
          <w:b/>
          <w:sz w:val="24"/>
          <w:szCs w:val="24"/>
        </w:rPr>
        <w:t xml:space="preserve">Le droit étatique </w:t>
      </w:r>
    </w:p>
    <w:p w:rsidR="00AF658A" w:rsidRPr="00762E6E" w:rsidRDefault="008B0EE2" w:rsidP="00F72129">
      <w:pPr>
        <w:jc w:val="both"/>
        <w:rPr>
          <w:rFonts w:ascii="Times New Roman" w:hAnsi="Times New Roman" w:cs="Times New Roman"/>
          <w:sz w:val="24"/>
          <w:szCs w:val="24"/>
        </w:rPr>
      </w:pPr>
      <w:r w:rsidRPr="00762E6E">
        <w:rPr>
          <w:rFonts w:ascii="Times New Roman" w:hAnsi="Times New Roman" w:cs="Times New Roman"/>
          <w:sz w:val="24"/>
          <w:szCs w:val="24"/>
        </w:rPr>
        <w:t>Ce droit écrit hérité de la colonisation regroupe l’ensemble des textes juridiques ayant directement une implication sur le foncier en général et le foncier Agricole en particulier. Puisqu’il n’existe pas de texte spécifiquement consacré au foncier Agricole dans son ensemble, le droit étatique en la matière est dispersé entre une dizaine de textes centrés aut</w:t>
      </w:r>
      <w:r w:rsidR="00506850" w:rsidRPr="00762E6E">
        <w:rPr>
          <w:rFonts w:ascii="Times New Roman" w:hAnsi="Times New Roman" w:cs="Times New Roman"/>
          <w:sz w:val="24"/>
          <w:szCs w:val="24"/>
        </w:rPr>
        <w:t>our du Code Domanial et Foncier</w:t>
      </w:r>
      <w:r w:rsidRPr="00762E6E">
        <w:rPr>
          <w:rFonts w:ascii="Times New Roman" w:hAnsi="Times New Roman" w:cs="Times New Roman"/>
          <w:sz w:val="24"/>
          <w:szCs w:val="24"/>
        </w:rPr>
        <w:t xml:space="preserve"> </w:t>
      </w:r>
      <w:r w:rsidRPr="003D0954">
        <w:rPr>
          <w:rFonts w:ascii="Times New Roman" w:hAnsi="Times New Roman" w:cs="Times New Roman"/>
          <w:sz w:val="24"/>
          <w:szCs w:val="24"/>
        </w:rPr>
        <w:t>(</w:t>
      </w:r>
      <w:r w:rsidRPr="00046C31">
        <w:rPr>
          <w:rFonts w:ascii="Times New Roman" w:hAnsi="Times New Roman" w:cs="Times New Roman"/>
          <w:sz w:val="24"/>
          <w:szCs w:val="24"/>
        </w:rPr>
        <w:t>CDF)</w:t>
      </w:r>
      <w:r w:rsidRPr="00762E6E">
        <w:rPr>
          <w:rFonts w:ascii="Times New Roman" w:hAnsi="Times New Roman" w:cs="Times New Roman"/>
          <w:sz w:val="24"/>
          <w:szCs w:val="24"/>
        </w:rPr>
        <w:t xml:space="preserve"> renforcé </w:t>
      </w:r>
      <w:r w:rsidR="00166489" w:rsidRPr="00762E6E">
        <w:rPr>
          <w:rFonts w:ascii="Times New Roman" w:hAnsi="Times New Roman" w:cs="Times New Roman"/>
          <w:sz w:val="24"/>
          <w:szCs w:val="24"/>
        </w:rPr>
        <w:t>par l’</w:t>
      </w:r>
      <w:r w:rsidR="003D0954">
        <w:rPr>
          <w:rFonts w:ascii="Times New Roman" w:hAnsi="Times New Roman" w:cs="Times New Roman"/>
          <w:sz w:val="24"/>
          <w:szCs w:val="24"/>
        </w:rPr>
        <w:t>Ordonnance n°</w:t>
      </w:r>
      <w:r w:rsidRPr="00762E6E">
        <w:rPr>
          <w:rFonts w:ascii="Times New Roman" w:hAnsi="Times New Roman" w:cs="Times New Roman"/>
          <w:sz w:val="24"/>
          <w:szCs w:val="24"/>
        </w:rPr>
        <w:t xml:space="preserve">00-027/P-RM du 22 mars 2000 portant Code domanial et foncier modifiée et ratifiée par la loi n° 02-008 du 12 février 2002 </w:t>
      </w:r>
      <w:r w:rsidR="00506850" w:rsidRPr="00762E6E">
        <w:rPr>
          <w:rFonts w:ascii="Times New Roman" w:hAnsi="Times New Roman" w:cs="Times New Roman"/>
          <w:sz w:val="24"/>
          <w:szCs w:val="24"/>
        </w:rPr>
        <w:t>.</w:t>
      </w:r>
      <w:r w:rsidR="00AF658A" w:rsidRPr="00762E6E">
        <w:rPr>
          <w:rFonts w:ascii="Times New Roman" w:hAnsi="Times New Roman" w:cs="Times New Roman"/>
          <w:sz w:val="24"/>
          <w:szCs w:val="24"/>
        </w:rPr>
        <w:t xml:space="preserve"> </w:t>
      </w:r>
      <w:r w:rsidRPr="00762E6E">
        <w:rPr>
          <w:rFonts w:ascii="Times New Roman" w:hAnsi="Times New Roman" w:cs="Times New Roman"/>
          <w:sz w:val="24"/>
          <w:szCs w:val="24"/>
        </w:rPr>
        <w:t>Aujourd’hui par la Loi d’</w:t>
      </w:r>
      <w:r w:rsidR="0087119E">
        <w:rPr>
          <w:rFonts w:ascii="Times New Roman" w:hAnsi="Times New Roman" w:cs="Times New Roman"/>
          <w:sz w:val="24"/>
          <w:szCs w:val="24"/>
        </w:rPr>
        <w:t>O</w:t>
      </w:r>
      <w:r w:rsidRPr="00762E6E">
        <w:rPr>
          <w:rFonts w:ascii="Times New Roman" w:hAnsi="Times New Roman" w:cs="Times New Roman"/>
          <w:sz w:val="24"/>
          <w:szCs w:val="24"/>
        </w:rPr>
        <w:t>rientation Agricole quant au fonc</w:t>
      </w:r>
      <w:r w:rsidR="00506850" w:rsidRPr="00762E6E">
        <w:rPr>
          <w:rFonts w:ascii="Times New Roman" w:hAnsi="Times New Roman" w:cs="Times New Roman"/>
          <w:sz w:val="24"/>
          <w:szCs w:val="24"/>
        </w:rPr>
        <w:t>ier rural (</w:t>
      </w:r>
      <w:r w:rsidR="00AF658A" w:rsidRPr="00762E6E">
        <w:rPr>
          <w:rFonts w:ascii="Times New Roman" w:hAnsi="Times New Roman" w:cs="Times New Roman"/>
          <w:sz w:val="24"/>
          <w:szCs w:val="24"/>
        </w:rPr>
        <w:t>CLRFA, 2006).</w:t>
      </w:r>
    </w:p>
    <w:p w:rsidR="008B0EE2" w:rsidRPr="00762E6E" w:rsidRDefault="008B0EE2" w:rsidP="00F72129">
      <w:pPr>
        <w:jc w:val="both"/>
        <w:rPr>
          <w:rFonts w:ascii="Times New Roman" w:hAnsi="Times New Roman" w:cs="Times New Roman"/>
          <w:sz w:val="24"/>
          <w:szCs w:val="24"/>
        </w:rPr>
      </w:pPr>
      <w:r w:rsidRPr="00762E6E">
        <w:rPr>
          <w:rFonts w:ascii="Times New Roman" w:hAnsi="Times New Roman" w:cs="Times New Roman"/>
          <w:sz w:val="24"/>
          <w:szCs w:val="24"/>
        </w:rPr>
        <w:t xml:space="preserve">De façon générale, la législation foncière, dans ses grandes orientations, est bâtie sur le principe constitutionnel de l’égalité juridique des citoyens et de la responsabilité de l’Etat dans la garantie de la propriété et de la sécurisation foncière pour tous. Le CDF qui est le principal texte en la matière, fait de la domanialité un principe fondamental de la gestion foncière. </w:t>
      </w:r>
    </w:p>
    <w:p w:rsidR="008B0EE2" w:rsidRPr="00762E6E" w:rsidRDefault="008B0EE2" w:rsidP="00F72129">
      <w:pPr>
        <w:jc w:val="both"/>
        <w:rPr>
          <w:rFonts w:ascii="Times New Roman" w:hAnsi="Times New Roman" w:cs="Times New Roman"/>
          <w:sz w:val="24"/>
          <w:szCs w:val="24"/>
        </w:rPr>
      </w:pPr>
      <w:r w:rsidRPr="00762E6E">
        <w:rPr>
          <w:rFonts w:ascii="Times New Roman" w:hAnsi="Times New Roman" w:cs="Times New Roman"/>
          <w:sz w:val="24"/>
          <w:szCs w:val="24"/>
        </w:rPr>
        <w:t>Le principe de domanialité, qui fonde la prééminence de l’Etat dans la gestion foncière, est articulé autour de l’institution d’un domaine national, ainsi que d’un domaine public et privé de l’Etat et des collectivités territoriales. Le domaine national du Mali englobe l’espace aérien, le sol et le sous-sol du t</w:t>
      </w:r>
      <w:r w:rsidR="00AF658A" w:rsidRPr="00762E6E">
        <w:rPr>
          <w:rFonts w:ascii="Times New Roman" w:hAnsi="Times New Roman" w:cs="Times New Roman"/>
          <w:sz w:val="24"/>
          <w:szCs w:val="24"/>
        </w:rPr>
        <w:t>erritoire national. Il comprend</w:t>
      </w:r>
      <w:r w:rsidRPr="00762E6E">
        <w:rPr>
          <w:rFonts w:ascii="Times New Roman" w:hAnsi="Times New Roman" w:cs="Times New Roman"/>
          <w:sz w:val="24"/>
          <w:szCs w:val="24"/>
        </w:rPr>
        <w:t xml:space="preserve">: les domaines publics et privés de l’Etat et des collectivités territoriales, ainsi que le patrimoine foncier des autres personnes, physiques ou morales, objet d’un titre foncier. </w:t>
      </w:r>
    </w:p>
    <w:p w:rsidR="008B0EE2" w:rsidRPr="00762E6E" w:rsidRDefault="008B0EE2" w:rsidP="00F72129">
      <w:pPr>
        <w:jc w:val="both"/>
        <w:rPr>
          <w:rFonts w:ascii="Times New Roman" w:hAnsi="Times New Roman" w:cs="Times New Roman"/>
          <w:sz w:val="24"/>
          <w:szCs w:val="24"/>
        </w:rPr>
      </w:pPr>
      <w:r w:rsidRPr="00762E6E">
        <w:rPr>
          <w:rFonts w:ascii="Times New Roman" w:hAnsi="Times New Roman" w:cs="Times New Roman"/>
          <w:sz w:val="24"/>
          <w:szCs w:val="24"/>
        </w:rPr>
        <w:t>Tout en faisant de la domanialité une pierre angulaire de la législation foncière</w:t>
      </w:r>
      <w:r w:rsidRPr="003D0954">
        <w:rPr>
          <w:rFonts w:ascii="Times New Roman" w:hAnsi="Times New Roman" w:cs="Times New Roman"/>
          <w:sz w:val="24"/>
          <w:szCs w:val="24"/>
        </w:rPr>
        <w:t xml:space="preserve">, </w:t>
      </w:r>
      <w:r w:rsidRPr="00046C31">
        <w:rPr>
          <w:rFonts w:ascii="Times New Roman" w:hAnsi="Times New Roman" w:cs="Times New Roman"/>
          <w:sz w:val="24"/>
          <w:szCs w:val="24"/>
        </w:rPr>
        <w:t>le CDF reconnait les droits coutumiers. En son article 43, ce texte non seulement confirme les droits coutumiers exercés collectivement ou individuellement sur les terres non immatriculée</w:t>
      </w:r>
      <w:r w:rsidR="00566CB2" w:rsidRPr="00046C31">
        <w:rPr>
          <w:rFonts w:ascii="Times New Roman" w:hAnsi="Times New Roman" w:cs="Times New Roman"/>
          <w:sz w:val="24"/>
          <w:szCs w:val="24"/>
        </w:rPr>
        <w:t>s, mais précise également que «</w:t>
      </w:r>
      <w:r w:rsidRPr="00046C31">
        <w:rPr>
          <w:rFonts w:ascii="Times New Roman" w:hAnsi="Times New Roman" w:cs="Times New Roman"/>
          <w:sz w:val="24"/>
          <w:szCs w:val="24"/>
        </w:rPr>
        <w:t>nul individu, nulle collectivité, ne peut être contraint de céder ses droits si ce n’est pour cause d’utilité publique et moyennant une juste et préalable indemnisation ».</w:t>
      </w:r>
    </w:p>
    <w:p w:rsidR="008B0EE2" w:rsidRPr="00762E6E" w:rsidRDefault="008B0EE2" w:rsidP="00F72129">
      <w:pPr>
        <w:jc w:val="both"/>
        <w:rPr>
          <w:rFonts w:ascii="Times New Roman" w:hAnsi="Times New Roman" w:cs="Times New Roman"/>
          <w:sz w:val="24"/>
          <w:szCs w:val="24"/>
        </w:rPr>
      </w:pPr>
      <w:r w:rsidRPr="00762E6E">
        <w:rPr>
          <w:rFonts w:ascii="Times New Roman" w:hAnsi="Times New Roman" w:cs="Times New Roman"/>
          <w:sz w:val="24"/>
          <w:szCs w:val="24"/>
        </w:rPr>
        <w:t>Mais</w:t>
      </w:r>
      <w:r w:rsidR="001B135C" w:rsidRPr="00762E6E">
        <w:rPr>
          <w:rFonts w:ascii="Times New Roman" w:hAnsi="Times New Roman" w:cs="Times New Roman"/>
          <w:sz w:val="24"/>
          <w:szCs w:val="24"/>
        </w:rPr>
        <w:t>,</w:t>
      </w:r>
      <w:r w:rsidRPr="00762E6E">
        <w:rPr>
          <w:rFonts w:ascii="Times New Roman" w:hAnsi="Times New Roman" w:cs="Times New Roman"/>
          <w:sz w:val="24"/>
          <w:szCs w:val="24"/>
        </w:rPr>
        <w:t xml:space="preserve"> cette reconnaissance des droits coutumiers s’avère incohérente avec le principe de la domanialité tel qu’appliqué dans le CDF. En effet, en vertu de ce principe, le domaine de l’Etat concerne aussi les terres non immatriculées, c’est à dire celles non acquises selon la procédure formelle de l’immatriculation. En d’autres termes les terres sur lesquelles portent les droits coutumiers sont propriété de l’Etat. Il en résulte donc une insécurité foncière potentielle pour les titulaires de ces droits.</w:t>
      </w:r>
      <w:r w:rsidR="0087119E">
        <w:rPr>
          <w:rFonts w:ascii="Times New Roman" w:hAnsi="Times New Roman" w:cs="Times New Roman"/>
          <w:sz w:val="24"/>
          <w:szCs w:val="24"/>
        </w:rPr>
        <w:t xml:space="preserve"> Malheureusement, les femmes sont encore les plus défavorisées.</w:t>
      </w:r>
    </w:p>
    <w:p w:rsidR="008B0EE2" w:rsidRPr="004C5711" w:rsidRDefault="00CB337F" w:rsidP="004C5711">
      <w:pPr>
        <w:pStyle w:val="Titre2"/>
        <w:rPr>
          <w:rFonts w:ascii="Times New Roman" w:hAnsi="Times New Roman" w:cs="Times New Roman"/>
          <w:b/>
          <w:color w:val="000000" w:themeColor="text1"/>
          <w:sz w:val="24"/>
          <w:szCs w:val="24"/>
        </w:rPr>
      </w:pPr>
      <w:bookmarkStart w:id="11" w:name="_Toc505329022"/>
      <w:r w:rsidRPr="004C5711">
        <w:rPr>
          <w:rFonts w:ascii="Times New Roman" w:hAnsi="Times New Roman" w:cs="Times New Roman"/>
          <w:b/>
          <w:color w:val="000000" w:themeColor="text1"/>
          <w:sz w:val="24"/>
          <w:szCs w:val="24"/>
        </w:rPr>
        <w:t>3.3</w:t>
      </w:r>
      <w:r w:rsidRPr="004C5711">
        <w:rPr>
          <w:rFonts w:ascii="Times New Roman" w:hAnsi="Times New Roman" w:cs="Times New Roman"/>
          <w:b/>
          <w:color w:val="000000" w:themeColor="text1"/>
          <w:sz w:val="24"/>
          <w:szCs w:val="24"/>
        </w:rPr>
        <w:tab/>
      </w:r>
      <w:r w:rsidR="005D08F0" w:rsidRPr="00FF5E52">
        <w:rPr>
          <w:rFonts w:ascii="Times New Roman" w:hAnsi="Times New Roman" w:cs="Times New Roman"/>
          <w:b/>
          <w:color w:val="000000" w:themeColor="text1"/>
          <w:sz w:val="24"/>
          <w:szCs w:val="24"/>
        </w:rPr>
        <w:t>Accès aux c</w:t>
      </w:r>
      <w:r w:rsidR="00811EBD" w:rsidRPr="00FF5E52">
        <w:rPr>
          <w:rFonts w:ascii="Times New Roman" w:hAnsi="Times New Roman" w:cs="Times New Roman"/>
          <w:b/>
          <w:color w:val="000000" w:themeColor="text1"/>
          <w:sz w:val="24"/>
          <w:szCs w:val="24"/>
        </w:rPr>
        <w:t>rédits</w:t>
      </w:r>
      <w:bookmarkEnd w:id="11"/>
    </w:p>
    <w:p w:rsidR="005B0C9A" w:rsidRDefault="000B1A74" w:rsidP="00F72129">
      <w:pPr>
        <w:jc w:val="both"/>
        <w:rPr>
          <w:rFonts w:ascii="Times New Roman" w:hAnsi="Times New Roman" w:cs="Times New Roman"/>
          <w:sz w:val="24"/>
          <w:szCs w:val="24"/>
        </w:rPr>
      </w:pPr>
      <w:r w:rsidRPr="005B0C9A">
        <w:rPr>
          <w:rFonts w:ascii="Times New Roman" w:hAnsi="Times New Roman" w:cs="Times New Roman"/>
          <w:sz w:val="24"/>
          <w:szCs w:val="24"/>
        </w:rPr>
        <w:t xml:space="preserve">En général, les petits producteurs ont des difficultés à obtenir des crédits en raison du manque de capacité à fournir une garantie reconnue par les banques et les institutions de microfinance. Ce manque d'accès au crédit est encore plus criant pour les femmes </w:t>
      </w:r>
      <w:r w:rsidRPr="005B0C9A">
        <w:rPr>
          <w:rFonts w:ascii="Times New Roman" w:hAnsi="Times New Roman" w:cs="Times New Roman"/>
          <w:sz w:val="24"/>
          <w:szCs w:val="24"/>
        </w:rPr>
        <w:t>par rapport</w:t>
      </w:r>
      <w:r w:rsidRPr="005B0C9A">
        <w:rPr>
          <w:rFonts w:ascii="Times New Roman" w:hAnsi="Times New Roman" w:cs="Times New Roman"/>
          <w:sz w:val="24"/>
          <w:szCs w:val="24"/>
        </w:rPr>
        <w:t xml:space="preserve"> </w:t>
      </w:r>
      <w:r w:rsidRPr="005B0C9A">
        <w:rPr>
          <w:rFonts w:ascii="Times New Roman" w:hAnsi="Times New Roman" w:cs="Times New Roman"/>
          <w:sz w:val="24"/>
          <w:szCs w:val="24"/>
        </w:rPr>
        <w:t>aux</w:t>
      </w:r>
      <w:r w:rsidRPr="005B0C9A">
        <w:rPr>
          <w:rFonts w:ascii="Times New Roman" w:hAnsi="Times New Roman" w:cs="Times New Roman"/>
          <w:sz w:val="24"/>
          <w:szCs w:val="24"/>
        </w:rPr>
        <w:t xml:space="preserve"> hommes, car elles n'ont aucun pouvoir de décision sur les ressources naturelles, par </w:t>
      </w:r>
      <w:r w:rsidRPr="005B0C9A">
        <w:rPr>
          <w:rFonts w:ascii="Times New Roman" w:hAnsi="Times New Roman" w:cs="Times New Roman"/>
          <w:sz w:val="24"/>
          <w:szCs w:val="24"/>
        </w:rPr>
        <w:t xml:space="preserve">exemple </w:t>
      </w:r>
      <w:r w:rsidRPr="005B0C9A">
        <w:rPr>
          <w:rFonts w:ascii="Times New Roman" w:hAnsi="Times New Roman" w:cs="Times New Roman"/>
          <w:sz w:val="24"/>
          <w:szCs w:val="24"/>
        </w:rPr>
        <w:t>l'utilisation continue d'une parcelle de terrain.</w:t>
      </w:r>
      <w:r w:rsidRPr="005B0C9A">
        <w:rPr>
          <w:rFonts w:ascii="Times New Roman" w:hAnsi="Times New Roman" w:cs="Times New Roman"/>
          <w:sz w:val="24"/>
          <w:szCs w:val="24"/>
        </w:rPr>
        <w:t xml:space="preserve"> </w:t>
      </w:r>
      <w:r w:rsidRPr="005B0C9A">
        <w:rPr>
          <w:rFonts w:ascii="Times New Roman" w:hAnsi="Times New Roman" w:cs="Times New Roman"/>
          <w:sz w:val="24"/>
          <w:szCs w:val="24"/>
        </w:rPr>
        <w:t xml:space="preserve">Une nouvelle loi foncière a été promulguée en 2017, qui </w:t>
      </w:r>
      <w:r w:rsidRPr="005B0C9A">
        <w:rPr>
          <w:rFonts w:ascii="Times New Roman" w:hAnsi="Times New Roman" w:cs="Times New Roman"/>
          <w:sz w:val="24"/>
          <w:szCs w:val="24"/>
        </w:rPr>
        <w:lastRenderedPageBreak/>
        <w:t xml:space="preserve">reconnaît légalement les droits coutumiers </w:t>
      </w:r>
      <w:r w:rsidRPr="005B0C9A">
        <w:rPr>
          <w:rFonts w:ascii="Times New Roman" w:hAnsi="Times New Roman" w:cs="Times New Roman"/>
          <w:sz w:val="24"/>
          <w:szCs w:val="24"/>
        </w:rPr>
        <w:t>des terres aux</w:t>
      </w:r>
      <w:r w:rsidRPr="005B0C9A">
        <w:rPr>
          <w:rFonts w:ascii="Times New Roman" w:hAnsi="Times New Roman" w:cs="Times New Roman"/>
          <w:sz w:val="24"/>
          <w:szCs w:val="24"/>
        </w:rPr>
        <w:t xml:space="preserve"> petits producteurs et attribue 15% des terres communautaires aux femmes. Cependant, les organisations et autres textes réglementaires devant accompagner la loi pour sa mise en œuvre ne sont pas encore disponibles. </w:t>
      </w:r>
      <w:r w:rsidR="005B0C9A">
        <w:rPr>
          <w:rFonts w:ascii="Times New Roman" w:hAnsi="Times New Roman" w:cs="Times New Roman"/>
          <w:sz w:val="24"/>
          <w:szCs w:val="24"/>
        </w:rPr>
        <w:t xml:space="preserve">Un autre enjeu par rapport à l’accès aux crédits est le taux d’intérêt du prêt. En effet </w:t>
      </w:r>
      <w:r w:rsidR="006F0486">
        <w:rPr>
          <w:rFonts w:ascii="Times New Roman" w:hAnsi="Times New Roman" w:cs="Times New Roman"/>
          <w:sz w:val="24"/>
          <w:szCs w:val="24"/>
        </w:rPr>
        <w:t>selon les institutions financières</w:t>
      </w:r>
      <w:r w:rsidR="005B0C9A">
        <w:rPr>
          <w:rFonts w:ascii="Times New Roman" w:hAnsi="Times New Roman" w:cs="Times New Roman"/>
          <w:sz w:val="24"/>
          <w:szCs w:val="24"/>
        </w:rPr>
        <w:t>,</w:t>
      </w:r>
      <w:r w:rsidR="006F0486">
        <w:rPr>
          <w:rFonts w:ascii="Times New Roman" w:hAnsi="Times New Roman" w:cs="Times New Roman"/>
          <w:sz w:val="24"/>
          <w:szCs w:val="24"/>
        </w:rPr>
        <w:t xml:space="preserve"> </w:t>
      </w:r>
      <w:r w:rsidR="005B0C9A">
        <w:rPr>
          <w:rFonts w:ascii="Times New Roman" w:hAnsi="Times New Roman" w:cs="Times New Roman"/>
          <w:sz w:val="24"/>
          <w:szCs w:val="24"/>
        </w:rPr>
        <w:t>l</w:t>
      </w:r>
      <w:r w:rsidR="005B0C9A">
        <w:rPr>
          <w:rFonts w:ascii="Times New Roman" w:hAnsi="Times New Roman" w:cs="Times New Roman"/>
          <w:sz w:val="24"/>
          <w:szCs w:val="24"/>
        </w:rPr>
        <w:t>e taux d’intérêt des crédits</w:t>
      </w:r>
      <w:r w:rsidR="005B0C9A">
        <w:rPr>
          <w:rFonts w:ascii="Times New Roman" w:hAnsi="Times New Roman" w:cs="Times New Roman"/>
          <w:sz w:val="24"/>
          <w:szCs w:val="24"/>
        </w:rPr>
        <w:t xml:space="preserve"> </w:t>
      </w:r>
      <w:r w:rsidR="006F0486">
        <w:rPr>
          <w:rFonts w:ascii="Times New Roman" w:hAnsi="Times New Roman" w:cs="Times New Roman"/>
          <w:sz w:val="24"/>
          <w:szCs w:val="24"/>
        </w:rPr>
        <w:t xml:space="preserve">varie de 9 à 12%. </w:t>
      </w:r>
    </w:p>
    <w:p w:rsidR="002552D8" w:rsidRDefault="00FE4C94" w:rsidP="00F72129">
      <w:pPr>
        <w:jc w:val="both"/>
        <w:rPr>
          <w:rFonts w:ascii="Times New Roman" w:hAnsi="Times New Roman" w:cs="Times New Roman"/>
          <w:sz w:val="24"/>
          <w:szCs w:val="24"/>
        </w:rPr>
      </w:pPr>
      <w:r>
        <w:rPr>
          <w:rFonts w:ascii="Times New Roman" w:hAnsi="Times New Roman" w:cs="Times New Roman"/>
          <w:sz w:val="24"/>
          <w:szCs w:val="24"/>
        </w:rPr>
        <w:t>Pour de nombreuses femmes, les difficultés d’accès se résument à l’élévation du taux d’intérêt et aux exigences de garantie pour avoir accès au crédit.</w:t>
      </w:r>
      <w:r w:rsidR="006F0486">
        <w:rPr>
          <w:rFonts w:ascii="Times New Roman" w:hAnsi="Times New Roman" w:cs="Times New Roman"/>
          <w:sz w:val="24"/>
          <w:szCs w:val="24"/>
        </w:rPr>
        <w:t xml:space="preserve"> </w:t>
      </w:r>
      <w:r>
        <w:rPr>
          <w:rFonts w:ascii="Times New Roman" w:hAnsi="Times New Roman" w:cs="Times New Roman"/>
          <w:sz w:val="24"/>
          <w:szCs w:val="24"/>
        </w:rPr>
        <w:t>A cela s’ajoute la courte durée de l’échéance de payement du crédit</w:t>
      </w:r>
      <w:r w:rsidR="002552D8">
        <w:rPr>
          <w:rFonts w:ascii="Times New Roman" w:hAnsi="Times New Roman" w:cs="Times New Roman"/>
          <w:sz w:val="24"/>
          <w:szCs w:val="24"/>
        </w:rPr>
        <w:t xml:space="preserve"> (01</w:t>
      </w:r>
      <w:r>
        <w:rPr>
          <w:rFonts w:ascii="Times New Roman" w:hAnsi="Times New Roman" w:cs="Times New Roman"/>
          <w:sz w:val="24"/>
          <w:szCs w:val="24"/>
        </w:rPr>
        <w:t xml:space="preserve"> à </w:t>
      </w:r>
      <w:r w:rsidR="002552D8">
        <w:rPr>
          <w:rFonts w:ascii="Times New Roman" w:hAnsi="Times New Roman" w:cs="Times New Roman"/>
          <w:sz w:val="24"/>
          <w:szCs w:val="24"/>
        </w:rPr>
        <w:t>03</w:t>
      </w:r>
      <w:r>
        <w:rPr>
          <w:rFonts w:ascii="Times New Roman" w:hAnsi="Times New Roman" w:cs="Times New Roman"/>
          <w:sz w:val="24"/>
          <w:szCs w:val="24"/>
        </w:rPr>
        <w:t xml:space="preserve"> mois </w:t>
      </w:r>
      <w:r w:rsidR="002552D8">
        <w:rPr>
          <w:rFonts w:ascii="Times New Roman" w:hAnsi="Times New Roman" w:cs="Times New Roman"/>
          <w:sz w:val="24"/>
          <w:szCs w:val="24"/>
        </w:rPr>
        <w:t xml:space="preserve">et </w:t>
      </w:r>
      <w:r>
        <w:rPr>
          <w:rFonts w:ascii="Times New Roman" w:hAnsi="Times New Roman" w:cs="Times New Roman"/>
          <w:sz w:val="24"/>
          <w:szCs w:val="24"/>
        </w:rPr>
        <w:t>maximum 1 an</w:t>
      </w:r>
      <w:r w:rsidR="002552D8">
        <w:rPr>
          <w:rFonts w:ascii="Times New Roman" w:hAnsi="Times New Roman" w:cs="Times New Roman"/>
          <w:sz w:val="24"/>
          <w:szCs w:val="24"/>
        </w:rPr>
        <w:t>)</w:t>
      </w:r>
      <w:r>
        <w:rPr>
          <w:rFonts w:ascii="Times New Roman" w:hAnsi="Times New Roman" w:cs="Times New Roman"/>
          <w:sz w:val="24"/>
          <w:szCs w:val="24"/>
        </w:rPr>
        <w:t xml:space="preserve">. </w:t>
      </w:r>
    </w:p>
    <w:p w:rsidR="00D06237" w:rsidRPr="00762E6E" w:rsidRDefault="002552D8" w:rsidP="00F72129">
      <w:pPr>
        <w:jc w:val="both"/>
        <w:rPr>
          <w:rFonts w:ascii="Times New Roman" w:hAnsi="Times New Roman" w:cs="Times New Roman"/>
          <w:color w:val="000000" w:themeColor="text1"/>
          <w:sz w:val="24"/>
          <w:szCs w:val="24"/>
        </w:rPr>
      </w:pPr>
      <w:r>
        <w:rPr>
          <w:rFonts w:ascii="Times New Roman" w:hAnsi="Times New Roman" w:cs="Times New Roman"/>
          <w:sz w:val="24"/>
          <w:szCs w:val="24"/>
        </w:rPr>
        <w:t>Par ailleurs, d</w:t>
      </w:r>
      <w:r w:rsidR="00D06237" w:rsidRPr="00762E6E">
        <w:rPr>
          <w:rFonts w:ascii="Times New Roman" w:hAnsi="Times New Roman" w:cs="Times New Roman"/>
          <w:sz w:val="24"/>
          <w:szCs w:val="24"/>
        </w:rPr>
        <w:t xml:space="preserve">e nombreuses études ont démontré qu’améliorer l’accès direct des femmes aux ressources </w:t>
      </w:r>
      <w:r w:rsidR="00D06237" w:rsidRPr="00762E6E">
        <w:rPr>
          <w:rFonts w:ascii="Times New Roman" w:hAnsi="Times New Roman" w:cs="Times New Roman"/>
          <w:color w:val="000000" w:themeColor="text1"/>
          <w:sz w:val="24"/>
          <w:szCs w:val="24"/>
        </w:rPr>
        <w:t>financières</w:t>
      </w:r>
      <w:r w:rsidR="00D06237" w:rsidRPr="00762E6E">
        <w:rPr>
          <w:rFonts w:ascii="Times New Roman" w:hAnsi="Times New Roman" w:cs="Times New Roman"/>
          <w:color w:val="FF0000"/>
          <w:sz w:val="24"/>
          <w:szCs w:val="24"/>
        </w:rPr>
        <w:t xml:space="preserve"> </w:t>
      </w:r>
      <w:r w:rsidR="00D06237" w:rsidRPr="00762E6E">
        <w:rPr>
          <w:rFonts w:ascii="Times New Roman" w:hAnsi="Times New Roman" w:cs="Times New Roman"/>
          <w:sz w:val="24"/>
          <w:szCs w:val="24"/>
        </w:rPr>
        <w:t>revient à potentialiser les investissements sous forme de capital humain en promouvant la santé, la qualité de la nutrition et l’instruction des enfants</w:t>
      </w:r>
      <w:r w:rsidR="00EE7AF8" w:rsidRPr="00762E6E">
        <w:rPr>
          <w:rFonts w:ascii="Times New Roman" w:hAnsi="Times New Roman" w:cs="Times New Roman"/>
          <w:sz w:val="24"/>
          <w:szCs w:val="24"/>
        </w:rPr>
        <w:t xml:space="preserve"> (</w:t>
      </w:r>
      <w:proofErr w:type="spellStart"/>
      <w:r w:rsidR="00EE7AF8" w:rsidRPr="00762E6E">
        <w:rPr>
          <w:rFonts w:ascii="Times New Roman" w:hAnsi="Times New Roman" w:cs="Times New Roman"/>
          <w:sz w:val="24"/>
          <w:szCs w:val="24"/>
        </w:rPr>
        <w:t>Fletschner</w:t>
      </w:r>
      <w:proofErr w:type="spellEnd"/>
      <w:r w:rsidR="00EE7AF8" w:rsidRPr="00762E6E">
        <w:rPr>
          <w:rFonts w:ascii="Times New Roman" w:hAnsi="Times New Roman" w:cs="Times New Roman"/>
          <w:sz w:val="24"/>
          <w:szCs w:val="24"/>
        </w:rPr>
        <w:t xml:space="preserve">, 2009; Banque mondiale, FAO et FIDA, 2009). </w:t>
      </w:r>
      <w:r>
        <w:rPr>
          <w:rFonts w:ascii="Times New Roman" w:hAnsi="Times New Roman" w:cs="Times New Roman"/>
          <w:sz w:val="24"/>
          <w:szCs w:val="24"/>
        </w:rPr>
        <w:t>L</w:t>
      </w:r>
      <w:r w:rsidR="00D06237" w:rsidRPr="00762E6E">
        <w:rPr>
          <w:rFonts w:ascii="Times New Roman" w:hAnsi="Times New Roman" w:cs="Times New Roman"/>
          <w:sz w:val="24"/>
          <w:szCs w:val="24"/>
        </w:rPr>
        <w:t>es faits observés indiquent que les marchés du crédit n’accordent pas le même traitement aux hommes et aux femmes. Il existe en effet des barrières juridiques et des impératifs culturels qui, dans certains cas, interdisent aux femmes d’être détentrices d’un compte en banque ou de passer directement des contrats d’ordre financier. De manière générale, les femmes ont une moindre maîtrise des catégories d’actifs fixes qui sont habituellement exigés comme caution</w:t>
      </w:r>
      <w:r w:rsidR="0087119E">
        <w:rPr>
          <w:rFonts w:ascii="Times New Roman" w:hAnsi="Times New Roman" w:cs="Times New Roman"/>
          <w:sz w:val="24"/>
          <w:szCs w:val="24"/>
        </w:rPr>
        <w:t xml:space="preserve"> (garantie)</w:t>
      </w:r>
      <w:r w:rsidR="00D06237" w:rsidRPr="00762E6E">
        <w:rPr>
          <w:rFonts w:ascii="Times New Roman" w:hAnsi="Times New Roman" w:cs="Times New Roman"/>
          <w:sz w:val="24"/>
          <w:szCs w:val="24"/>
        </w:rPr>
        <w:t xml:space="preserve"> d’un prêt. Il existe donc une discrimination institutionnelle, de la part des organismes de prêts privés et publics qui, souvent, tend à décourager les femmes d’obtenir de tels concours en leur restreignant les facilités, ou en leur accordant des prêts d’un montant inférieur à ceux consentis aux hommes pour des activités analogues (</w:t>
      </w:r>
      <w:r w:rsidR="00036F28" w:rsidRPr="00762E6E">
        <w:rPr>
          <w:rFonts w:ascii="Times New Roman" w:hAnsi="Times New Roman" w:cs="Times New Roman"/>
          <w:sz w:val="24"/>
          <w:szCs w:val="24"/>
        </w:rPr>
        <w:t xml:space="preserve">Bernard Fouquet, 2010, </w:t>
      </w:r>
      <w:proofErr w:type="spellStart"/>
      <w:r w:rsidR="00D06237" w:rsidRPr="00762E6E">
        <w:rPr>
          <w:rFonts w:ascii="Times New Roman" w:hAnsi="Times New Roman" w:cs="Times New Roman"/>
          <w:sz w:val="24"/>
          <w:szCs w:val="24"/>
        </w:rPr>
        <w:t>Fletschner</w:t>
      </w:r>
      <w:proofErr w:type="spellEnd"/>
      <w:r w:rsidR="00D06237" w:rsidRPr="00762E6E">
        <w:rPr>
          <w:rFonts w:ascii="Times New Roman" w:hAnsi="Times New Roman" w:cs="Times New Roman"/>
          <w:sz w:val="24"/>
          <w:szCs w:val="24"/>
        </w:rPr>
        <w:t>, 2009; Banque mondiale, FAO et FIDA, 2009).</w:t>
      </w:r>
      <w:r w:rsidR="00B27C0B" w:rsidRPr="00762E6E">
        <w:rPr>
          <w:rFonts w:ascii="Times New Roman" w:hAnsi="Times New Roman" w:cs="Times New Roman"/>
          <w:color w:val="FF0000"/>
          <w:sz w:val="24"/>
          <w:szCs w:val="24"/>
        </w:rPr>
        <w:t xml:space="preserve"> </w:t>
      </w:r>
      <w:r w:rsidR="00B27C0B" w:rsidRPr="00762E6E">
        <w:rPr>
          <w:rFonts w:ascii="Times New Roman" w:hAnsi="Times New Roman" w:cs="Times New Roman"/>
          <w:color w:val="000000" w:themeColor="text1"/>
          <w:sz w:val="24"/>
          <w:szCs w:val="24"/>
        </w:rPr>
        <w:t>Dans tous les cas de figure, les petits exploitants agricoles ont du mal à obtenir du crédit ou d’autres services financiers; mais il reste que, dans la plupart des pays, la proportion des petites exploitantes agricoles capables de se procurer du crédit est inférieure de 5 à 10 pour cent à celle des hommes de la même catégorie. Or, l’accès au crédit et aux assurances est important pour pouvoir accumuler et conserver d’autres actifs (FAO, 2010).</w:t>
      </w:r>
    </w:p>
    <w:p w:rsidR="00E57B10" w:rsidRPr="004C5711" w:rsidRDefault="00CB337F" w:rsidP="004C5711">
      <w:pPr>
        <w:pStyle w:val="Titre2"/>
        <w:rPr>
          <w:rFonts w:ascii="Times New Roman" w:hAnsi="Times New Roman" w:cs="Times New Roman"/>
          <w:b/>
          <w:color w:val="000000" w:themeColor="text1"/>
          <w:sz w:val="24"/>
          <w:szCs w:val="24"/>
        </w:rPr>
      </w:pPr>
      <w:bookmarkStart w:id="12" w:name="_Toc505329023"/>
      <w:r w:rsidRPr="004C5711">
        <w:rPr>
          <w:rFonts w:ascii="Times New Roman" w:hAnsi="Times New Roman" w:cs="Times New Roman"/>
          <w:b/>
          <w:color w:val="000000" w:themeColor="text1"/>
          <w:sz w:val="24"/>
          <w:szCs w:val="24"/>
        </w:rPr>
        <w:t>3.4</w:t>
      </w:r>
      <w:r w:rsidRPr="004C5711">
        <w:rPr>
          <w:rFonts w:ascii="Times New Roman" w:hAnsi="Times New Roman" w:cs="Times New Roman"/>
          <w:b/>
          <w:color w:val="000000" w:themeColor="text1"/>
          <w:sz w:val="24"/>
          <w:szCs w:val="24"/>
        </w:rPr>
        <w:tab/>
      </w:r>
      <w:r w:rsidR="00E57B10" w:rsidRPr="004C5711">
        <w:rPr>
          <w:rFonts w:ascii="Times New Roman" w:hAnsi="Times New Roman" w:cs="Times New Roman"/>
          <w:b/>
          <w:color w:val="000000" w:themeColor="text1"/>
          <w:sz w:val="24"/>
          <w:szCs w:val="24"/>
        </w:rPr>
        <w:t>Accès aux intrants agricoles</w:t>
      </w:r>
      <w:r w:rsidR="00A15071" w:rsidRPr="004C5711">
        <w:rPr>
          <w:rFonts w:ascii="Times New Roman" w:hAnsi="Times New Roman" w:cs="Times New Roman"/>
          <w:b/>
          <w:color w:val="000000" w:themeColor="text1"/>
          <w:sz w:val="24"/>
          <w:szCs w:val="24"/>
        </w:rPr>
        <w:t xml:space="preserve"> et aux équipements agricoles</w:t>
      </w:r>
      <w:bookmarkEnd w:id="12"/>
    </w:p>
    <w:p w:rsidR="00E57B10" w:rsidRPr="00762E6E" w:rsidRDefault="00B27C0B" w:rsidP="00F72129">
      <w:pPr>
        <w:jc w:val="both"/>
        <w:rPr>
          <w:rFonts w:ascii="Times New Roman" w:hAnsi="Times New Roman" w:cs="Times New Roman"/>
          <w:color w:val="000000" w:themeColor="text1"/>
          <w:sz w:val="24"/>
          <w:szCs w:val="24"/>
        </w:rPr>
      </w:pPr>
      <w:r w:rsidRPr="00762E6E">
        <w:rPr>
          <w:rFonts w:ascii="Times New Roman" w:hAnsi="Times New Roman" w:cs="Times New Roman"/>
          <w:color w:val="000000" w:themeColor="text1"/>
          <w:sz w:val="24"/>
          <w:szCs w:val="24"/>
        </w:rPr>
        <w:t>Les femmes sont nettement moins bien placées pour utiliser les intrants commerciaux tels que les engrais et les semences améliorées, ou pour faire usage d’instruments et d’équipements mécaniques</w:t>
      </w:r>
      <w:r w:rsidR="00F14F4A">
        <w:rPr>
          <w:rFonts w:ascii="Times New Roman" w:hAnsi="Times New Roman" w:cs="Times New Roman"/>
          <w:color w:val="000000" w:themeColor="text1"/>
          <w:sz w:val="24"/>
          <w:szCs w:val="24"/>
        </w:rPr>
        <w:t xml:space="preserve"> à cause du manque de moyens financiers et des difficultés d’obtention de crédits</w:t>
      </w:r>
      <w:r w:rsidRPr="00762E6E">
        <w:rPr>
          <w:rFonts w:ascii="Times New Roman" w:hAnsi="Times New Roman" w:cs="Times New Roman"/>
          <w:color w:val="000000" w:themeColor="text1"/>
          <w:sz w:val="24"/>
          <w:szCs w:val="24"/>
        </w:rPr>
        <w:t>. Dans un grand nombre de pays, leurs chances d’utiliser des engrais sont inférieures de moitié à celle des hommes</w:t>
      </w:r>
      <w:r w:rsidR="00A15071" w:rsidRPr="00762E6E">
        <w:rPr>
          <w:rFonts w:ascii="Times New Roman" w:hAnsi="Times New Roman" w:cs="Times New Roman"/>
          <w:color w:val="000000" w:themeColor="text1"/>
          <w:sz w:val="24"/>
          <w:szCs w:val="24"/>
        </w:rPr>
        <w:t xml:space="preserve"> (FAO,</w:t>
      </w:r>
      <w:r w:rsidR="00A14360" w:rsidRPr="00762E6E">
        <w:rPr>
          <w:rFonts w:ascii="Times New Roman" w:hAnsi="Times New Roman" w:cs="Times New Roman"/>
          <w:color w:val="000000" w:themeColor="text1"/>
          <w:sz w:val="24"/>
          <w:szCs w:val="24"/>
        </w:rPr>
        <w:t xml:space="preserve"> </w:t>
      </w:r>
      <w:r w:rsidR="00A15071" w:rsidRPr="00762E6E">
        <w:rPr>
          <w:rFonts w:ascii="Times New Roman" w:hAnsi="Times New Roman" w:cs="Times New Roman"/>
          <w:color w:val="000000" w:themeColor="text1"/>
          <w:sz w:val="24"/>
          <w:szCs w:val="24"/>
        </w:rPr>
        <w:t>2010)</w:t>
      </w:r>
      <w:r w:rsidRPr="00762E6E">
        <w:rPr>
          <w:rFonts w:ascii="Times New Roman" w:hAnsi="Times New Roman" w:cs="Times New Roman"/>
          <w:color w:val="000000" w:themeColor="text1"/>
          <w:sz w:val="24"/>
          <w:szCs w:val="24"/>
        </w:rPr>
        <w:t>.</w:t>
      </w:r>
    </w:p>
    <w:p w:rsidR="00B27C0B" w:rsidRPr="00762E6E" w:rsidRDefault="00A15071" w:rsidP="00F72129">
      <w:pPr>
        <w:jc w:val="both"/>
        <w:rPr>
          <w:rFonts w:ascii="Times New Roman" w:hAnsi="Times New Roman" w:cs="Times New Roman"/>
          <w:color w:val="000000" w:themeColor="text1"/>
          <w:sz w:val="24"/>
          <w:szCs w:val="24"/>
        </w:rPr>
      </w:pPr>
      <w:r w:rsidRPr="00762E6E">
        <w:rPr>
          <w:rFonts w:ascii="Times New Roman" w:hAnsi="Times New Roman" w:cs="Times New Roman"/>
          <w:color w:val="000000" w:themeColor="text1"/>
          <w:sz w:val="24"/>
          <w:szCs w:val="24"/>
        </w:rPr>
        <w:t>Dans tous les pays pour lesquels on dispose de données, les cheptels des exploitantes agricoles sont beaucoup plus réduits que ceux de leurs homologues masculins. En outre, les femmes tirent des revenus moindres de leurs bêtes, de même qu’elles ont moins de chances de posséder des animaux de grande taille, comme les bovins, utiles pour la traction animale par rapport aux hommes. S’agissant du niveau d’instruction, le fossé entre hommes et femmes en matière éducative est particulièrement prononcé dans les zones rurales; parfois, les femmes qui se trouvent à la tête d’un ménage ont moins de la moitié des années d’instruction de leurs homologues masculins.</w:t>
      </w:r>
    </w:p>
    <w:p w:rsidR="00811EBD" w:rsidRPr="004C5711" w:rsidRDefault="00CB337F" w:rsidP="004C5711">
      <w:pPr>
        <w:pStyle w:val="Titre2"/>
        <w:rPr>
          <w:rFonts w:ascii="Times New Roman" w:hAnsi="Times New Roman" w:cs="Times New Roman"/>
          <w:b/>
          <w:color w:val="000000" w:themeColor="text1"/>
          <w:sz w:val="24"/>
          <w:szCs w:val="24"/>
        </w:rPr>
      </w:pPr>
      <w:bookmarkStart w:id="13" w:name="_Toc505329024"/>
      <w:r w:rsidRPr="004C5711">
        <w:rPr>
          <w:rFonts w:ascii="Times New Roman" w:hAnsi="Times New Roman" w:cs="Times New Roman"/>
          <w:b/>
          <w:color w:val="000000" w:themeColor="text1"/>
          <w:sz w:val="24"/>
          <w:szCs w:val="24"/>
        </w:rPr>
        <w:lastRenderedPageBreak/>
        <w:t>3.5</w:t>
      </w:r>
      <w:r w:rsidRPr="004C5711">
        <w:rPr>
          <w:rFonts w:ascii="Times New Roman" w:hAnsi="Times New Roman" w:cs="Times New Roman"/>
          <w:b/>
          <w:color w:val="000000" w:themeColor="text1"/>
          <w:sz w:val="24"/>
          <w:szCs w:val="24"/>
        </w:rPr>
        <w:tab/>
      </w:r>
      <w:r w:rsidR="00184B19" w:rsidRPr="004C5711">
        <w:rPr>
          <w:rFonts w:ascii="Times New Roman" w:hAnsi="Times New Roman" w:cs="Times New Roman"/>
          <w:b/>
          <w:color w:val="000000" w:themeColor="text1"/>
          <w:sz w:val="24"/>
          <w:szCs w:val="24"/>
        </w:rPr>
        <w:t>Accès aux marchés</w:t>
      </w:r>
      <w:bookmarkEnd w:id="13"/>
    </w:p>
    <w:p w:rsidR="00184B19" w:rsidRDefault="00184B19" w:rsidP="00F72129">
      <w:pPr>
        <w:jc w:val="both"/>
        <w:rPr>
          <w:rFonts w:ascii="Times New Roman" w:hAnsi="Times New Roman" w:cs="Times New Roman"/>
          <w:color w:val="000000" w:themeColor="text1"/>
          <w:sz w:val="24"/>
          <w:szCs w:val="24"/>
        </w:rPr>
      </w:pPr>
      <w:r w:rsidRPr="00762E6E">
        <w:rPr>
          <w:rFonts w:ascii="Times New Roman" w:hAnsi="Times New Roman" w:cs="Times New Roman"/>
          <w:color w:val="000000" w:themeColor="text1"/>
          <w:sz w:val="24"/>
          <w:szCs w:val="24"/>
        </w:rPr>
        <w:t xml:space="preserve">Asymétrie d’information du marché, On parle d’asymétrie d’information du marché entre deux agents (ou groupes d’agents) candidates à un échange bilatéral lorsque l’une dispose de plus d’informations ou d’une information plus complète que l’autre. Dans le domaine des marchés agricoles africains, l’asymétrie d’information ne porte pas uniquement sur la qualité des biens mais aussi sur la connaissance des «prix de marché» : des petits producteurs isolés ayant un accès restreint à l’information sur les prix moyens pratiqués sont en situation d’infériorité vis-à-vis des commerçants et grossistes. </w:t>
      </w:r>
      <w:r w:rsidR="00A14360" w:rsidRPr="00762E6E">
        <w:rPr>
          <w:rFonts w:ascii="Times New Roman" w:hAnsi="Times New Roman" w:cs="Times New Roman"/>
          <w:color w:val="000000" w:themeColor="text1"/>
          <w:sz w:val="24"/>
          <w:szCs w:val="24"/>
        </w:rPr>
        <w:t>De même que les hommes sont mieux informés sur le marché en milieux rurale par rapport aux femmes. Donc, il est important</w:t>
      </w:r>
      <w:r w:rsidRPr="00762E6E">
        <w:rPr>
          <w:rFonts w:ascii="Times New Roman" w:hAnsi="Times New Roman" w:cs="Times New Roman"/>
          <w:color w:val="000000" w:themeColor="text1"/>
          <w:sz w:val="24"/>
          <w:szCs w:val="24"/>
        </w:rPr>
        <w:t xml:space="preserve"> de limiter les asymétries d’information entre les différents acteurs des filières et les acheteurs.</w:t>
      </w:r>
    </w:p>
    <w:p w:rsidR="003A4BB3" w:rsidRPr="003A4BB3" w:rsidRDefault="003A4BB3" w:rsidP="003A4BB3">
      <w:pPr>
        <w:pStyle w:val="Titre2"/>
        <w:keepLines w:val="0"/>
        <w:numPr>
          <w:ilvl w:val="1"/>
          <w:numId w:val="7"/>
        </w:numPr>
        <w:spacing w:before="240" w:after="60" w:line="240" w:lineRule="auto"/>
        <w:rPr>
          <w:rFonts w:ascii="Times New Roman" w:hAnsi="Times New Roman"/>
          <w:b/>
          <w:color w:val="000000"/>
          <w:sz w:val="24"/>
          <w:szCs w:val="24"/>
        </w:rPr>
      </w:pPr>
      <w:bookmarkStart w:id="14" w:name="_Toc502152039"/>
      <w:bookmarkStart w:id="15" w:name="_Toc505329025"/>
      <w:r w:rsidRPr="003A4BB3">
        <w:rPr>
          <w:rFonts w:ascii="Times New Roman" w:hAnsi="Times New Roman"/>
          <w:b/>
          <w:color w:val="000000"/>
          <w:sz w:val="24"/>
          <w:szCs w:val="24"/>
        </w:rPr>
        <w:t>Point de vue des décideurs sur l’accès des femmes et des jeunes aux facteurs de production et aux marchés</w:t>
      </w:r>
      <w:bookmarkEnd w:id="14"/>
      <w:bookmarkEnd w:id="15"/>
    </w:p>
    <w:p w:rsidR="003A4BB3" w:rsidRPr="003A4BB3" w:rsidRDefault="003A4BB3" w:rsidP="003A4BB3">
      <w:pPr>
        <w:pStyle w:val="Titre3"/>
        <w:ind w:left="720" w:hanging="720"/>
        <w:rPr>
          <w:rFonts w:ascii="Times New Roman" w:hAnsi="Times New Roman"/>
          <w:b/>
          <w:color w:val="000000"/>
        </w:rPr>
      </w:pPr>
      <w:bookmarkStart w:id="16" w:name="_Toc502152040"/>
      <w:bookmarkStart w:id="17" w:name="_Toc505329026"/>
      <w:r w:rsidRPr="003A4BB3">
        <w:rPr>
          <w:rFonts w:ascii="Times New Roman" w:hAnsi="Times New Roman"/>
          <w:b/>
          <w:color w:val="000000" w:themeColor="text1"/>
        </w:rPr>
        <w:t>3.6.1</w:t>
      </w:r>
      <w:r w:rsidRPr="003A4BB3">
        <w:rPr>
          <w:rFonts w:ascii="Times New Roman" w:hAnsi="Times New Roman"/>
          <w:b/>
        </w:rPr>
        <w:tab/>
      </w:r>
      <w:r w:rsidRPr="003A4BB3">
        <w:rPr>
          <w:rFonts w:ascii="Times New Roman" w:hAnsi="Times New Roman"/>
          <w:b/>
          <w:color w:val="000000"/>
        </w:rPr>
        <w:t xml:space="preserve">Politiques ou arrangements institutionnels </w:t>
      </w:r>
      <w:r w:rsidRPr="003A4BB3">
        <w:rPr>
          <w:rFonts w:ascii="Times New Roman" w:hAnsi="Times New Roman"/>
          <w:b/>
          <w:color w:val="000000"/>
          <w:lang w:val="fr-ML"/>
        </w:rPr>
        <w:t>constituant</w:t>
      </w:r>
      <w:r w:rsidRPr="003A4BB3">
        <w:rPr>
          <w:rFonts w:ascii="Times New Roman" w:hAnsi="Times New Roman"/>
          <w:b/>
          <w:color w:val="000000"/>
        </w:rPr>
        <w:t xml:space="preserve"> des obstacles pour l’accès aux   facteurs de production et aux marchés</w:t>
      </w:r>
      <w:bookmarkEnd w:id="16"/>
      <w:bookmarkEnd w:id="17"/>
    </w:p>
    <w:p w:rsidR="003A4BB3" w:rsidRPr="003A4BB3" w:rsidRDefault="003A4BB3" w:rsidP="003A4BB3">
      <w:pPr>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Les politiques et arrangements institutionnels pouvant être des obstacles pour l’accès aux facteurs de production et aux marchés sont liés aux aspects suivants (Tableau 1) :</w:t>
      </w:r>
    </w:p>
    <w:p w:rsidR="003A4BB3" w:rsidRPr="003A4BB3" w:rsidRDefault="003A4BB3" w:rsidP="003A4BB3">
      <w:pPr>
        <w:pStyle w:val="Paragraphedeliste"/>
        <w:numPr>
          <w:ilvl w:val="0"/>
          <w:numId w:val="8"/>
        </w:numPr>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le code de mariage et de la famille ;</w:t>
      </w:r>
    </w:p>
    <w:p w:rsidR="003A4BB3" w:rsidRPr="003A4BB3" w:rsidRDefault="003A4BB3" w:rsidP="003A4BB3">
      <w:pPr>
        <w:pStyle w:val="Paragraphedeliste"/>
        <w:numPr>
          <w:ilvl w:val="0"/>
          <w:numId w:val="8"/>
        </w:numPr>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la reconnaissance du droit coutumier ;</w:t>
      </w:r>
    </w:p>
    <w:p w:rsidR="003A4BB3" w:rsidRPr="003A4BB3" w:rsidRDefault="003A4BB3" w:rsidP="003A4BB3">
      <w:pPr>
        <w:pStyle w:val="Paragraphedeliste"/>
        <w:numPr>
          <w:ilvl w:val="0"/>
          <w:numId w:val="8"/>
        </w:numPr>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les exigences de cautions et de garantis pour l’obtention de crédits ;</w:t>
      </w:r>
    </w:p>
    <w:p w:rsidR="003A4BB3" w:rsidRPr="003A4BB3" w:rsidRDefault="003A4BB3" w:rsidP="003A4BB3">
      <w:pPr>
        <w:pStyle w:val="Paragraphedeliste"/>
        <w:numPr>
          <w:ilvl w:val="0"/>
          <w:numId w:val="8"/>
        </w:numPr>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xml:space="preserve">le taux d’intérêt élevé des crédits auprès des banques.  </w:t>
      </w:r>
    </w:p>
    <w:p w:rsidR="003A4BB3" w:rsidRPr="003A4BB3" w:rsidRDefault="003A4BB3" w:rsidP="00AB7055">
      <w:pPr>
        <w:spacing w:after="0"/>
        <w:jc w:val="both"/>
        <w:rPr>
          <w:rFonts w:ascii="Times New Roman" w:hAnsi="Times New Roman" w:cs="Times New Roman"/>
          <w:color w:val="000000" w:themeColor="text1"/>
          <w:sz w:val="24"/>
          <w:szCs w:val="24"/>
        </w:rPr>
      </w:pPr>
      <w:bookmarkStart w:id="18" w:name="_Toc498609118"/>
      <w:r w:rsidRPr="003A4BB3">
        <w:rPr>
          <w:rFonts w:ascii="Times New Roman" w:hAnsi="Times New Roman" w:cs="Times New Roman"/>
          <w:color w:val="000000" w:themeColor="text1"/>
          <w:sz w:val="24"/>
          <w:szCs w:val="24"/>
        </w:rPr>
        <w:t xml:space="preserve">Tableau </w:t>
      </w:r>
      <w:r w:rsidRPr="003A4BB3">
        <w:rPr>
          <w:rFonts w:ascii="Times New Roman" w:hAnsi="Times New Roman" w:cs="Times New Roman"/>
          <w:color w:val="000000" w:themeColor="text1"/>
          <w:sz w:val="24"/>
          <w:szCs w:val="24"/>
        </w:rPr>
        <w:fldChar w:fldCharType="begin"/>
      </w:r>
      <w:r w:rsidRPr="003A4BB3">
        <w:rPr>
          <w:rFonts w:ascii="Times New Roman" w:hAnsi="Times New Roman" w:cs="Times New Roman"/>
          <w:color w:val="000000" w:themeColor="text1"/>
          <w:sz w:val="24"/>
          <w:szCs w:val="24"/>
        </w:rPr>
        <w:instrText xml:space="preserve"> SEQ Tableau \* ARABIC </w:instrText>
      </w:r>
      <w:r w:rsidRPr="003A4BB3">
        <w:rPr>
          <w:rFonts w:ascii="Times New Roman" w:hAnsi="Times New Roman" w:cs="Times New Roman"/>
          <w:color w:val="000000" w:themeColor="text1"/>
          <w:sz w:val="24"/>
          <w:szCs w:val="24"/>
        </w:rPr>
        <w:fldChar w:fldCharType="separate"/>
      </w:r>
      <w:r w:rsidRPr="003A4BB3">
        <w:rPr>
          <w:rFonts w:ascii="Times New Roman" w:hAnsi="Times New Roman" w:cs="Times New Roman"/>
          <w:color w:val="000000" w:themeColor="text1"/>
          <w:sz w:val="24"/>
          <w:szCs w:val="24"/>
        </w:rPr>
        <w:t>1</w:t>
      </w:r>
      <w:r w:rsidRPr="003A4BB3">
        <w:rPr>
          <w:rFonts w:ascii="Times New Roman" w:hAnsi="Times New Roman" w:cs="Times New Roman"/>
          <w:color w:val="000000" w:themeColor="text1"/>
          <w:sz w:val="24"/>
          <w:szCs w:val="24"/>
        </w:rPr>
        <w:fldChar w:fldCharType="end"/>
      </w:r>
      <w:r w:rsidRPr="003A4BB3">
        <w:rPr>
          <w:rFonts w:ascii="Times New Roman" w:hAnsi="Times New Roman" w:cs="Times New Roman"/>
          <w:color w:val="000000" w:themeColor="text1"/>
          <w:sz w:val="24"/>
          <w:szCs w:val="24"/>
        </w:rPr>
        <w:t>: Les politiques et arrangements institutionnels pouvant être des obstacles pour</w:t>
      </w:r>
    </w:p>
    <w:p w:rsidR="003A4BB3" w:rsidRPr="003A4BB3" w:rsidRDefault="003A4BB3" w:rsidP="00AB7055">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xml:space="preserve">                     </w:t>
      </w:r>
      <w:proofErr w:type="gramStart"/>
      <w:r w:rsidRPr="003A4BB3">
        <w:rPr>
          <w:rFonts w:ascii="Times New Roman" w:hAnsi="Times New Roman" w:cs="Times New Roman"/>
          <w:color w:val="000000" w:themeColor="text1"/>
          <w:sz w:val="24"/>
          <w:szCs w:val="24"/>
        </w:rPr>
        <w:t>l’accès</w:t>
      </w:r>
      <w:proofErr w:type="gramEnd"/>
      <w:r w:rsidRPr="003A4BB3">
        <w:rPr>
          <w:rFonts w:ascii="Times New Roman" w:hAnsi="Times New Roman" w:cs="Times New Roman"/>
          <w:color w:val="000000" w:themeColor="text1"/>
          <w:sz w:val="24"/>
          <w:szCs w:val="24"/>
        </w:rPr>
        <w:t xml:space="preserve"> aux facteurs de production et aux marchés</w:t>
      </w:r>
      <w:bookmarkEnd w:id="1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691"/>
        <w:gridCol w:w="1956"/>
      </w:tblGrid>
      <w:tr w:rsidR="003A4BB3" w:rsidRPr="003A4BB3" w:rsidTr="003A4BB3">
        <w:trPr>
          <w:trHeight w:val="772"/>
        </w:trPr>
        <w:tc>
          <w:tcPr>
            <w:tcW w:w="1384"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Facteurs de production</w:t>
            </w:r>
          </w:p>
        </w:tc>
        <w:tc>
          <w:tcPr>
            <w:tcW w:w="6691"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Obstacles politiques ou raisons entravant l’accès aux facteurs de production</w:t>
            </w:r>
          </w:p>
        </w:tc>
        <w:tc>
          <w:tcPr>
            <w:tcW w:w="1956"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Les décideurs ayant évoqués l’obstacle (%)</w:t>
            </w:r>
          </w:p>
        </w:tc>
      </w:tr>
      <w:tr w:rsidR="003A4BB3" w:rsidRPr="003A4BB3" w:rsidTr="00964F3C">
        <w:trPr>
          <w:trHeight w:val="1263"/>
        </w:trPr>
        <w:tc>
          <w:tcPr>
            <w:tcW w:w="1384"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Terre (Foncier)</w:t>
            </w:r>
          </w:p>
        </w:tc>
        <w:tc>
          <w:tcPr>
            <w:tcW w:w="6691" w:type="dxa"/>
            <w:shd w:val="clear" w:color="auto" w:fill="auto"/>
          </w:tcPr>
          <w:p w:rsidR="003A4BB3" w:rsidRPr="003A4BB3" w:rsidRDefault="002552D8" w:rsidP="00964F3C">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A4BB3" w:rsidRPr="003A4BB3">
              <w:rPr>
                <w:rFonts w:ascii="Times New Roman" w:hAnsi="Times New Roman" w:cs="Times New Roman"/>
                <w:color w:val="000000" w:themeColor="text1"/>
                <w:sz w:val="24"/>
                <w:szCs w:val="24"/>
              </w:rPr>
              <w:t>Code de mariage et de la famille qui soutiennent que la résidence est liée à l'avis du mari et que l'homme est toujours le chef ;</w:t>
            </w:r>
          </w:p>
          <w:p w:rsidR="003A4BB3" w:rsidRPr="003A4BB3" w:rsidRDefault="002552D8" w:rsidP="00964F3C">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A4BB3" w:rsidRPr="003A4BB3">
              <w:rPr>
                <w:rFonts w:ascii="Times New Roman" w:hAnsi="Times New Roman" w:cs="Times New Roman"/>
                <w:color w:val="000000" w:themeColor="text1"/>
                <w:sz w:val="24"/>
                <w:szCs w:val="24"/>
              </w:rPr>
              <w:t>Reconnaissance du droit coutumier car il y a des propriétaires terriens dans notre société.</w:t>
            </w:r>
          </w:p>
        </w:tc>
        <w:tc>
          <w:tcPr>
            <w:tcW w:w="1956"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17</w:t>
            </w:r>
          </w:p>
        </w:tc>
      </w:tr>
      <w:tr w:rsidR="003A4BB3" w:rsidRPr="003A4BB3" w:rsidTr="00964F3C">
        <w:trPr>
          <w:trHeight w:val="1111"/>
        </w:trPr>
        <w:tc>
          <w:tcPr>
            <w:tcW w:w="1384"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Crédit</w:t>
            </w:r>
          </w:p>
        </w:tc>
        <w:tc>
          <w:tcPr>
            <w:tcW w:w="6691" w:type="dxa"/>
            <w:shd w:val="clear" w:color="auto" w:fill="auto"/>
          </w:tcPr>
          <w:p w:rsidR="003A4BB3" w:rsidRPr="003A4BB3" w:rsidRDefault="002552D8" w:rsidP="00964F3C">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A4BB3" w:rsidRPr="003A4BB3">
              <w:rPr>
                <w:rFonts w:ascii="Times New Roman" w:hAnsi="Times New Roman" w:cs="Times New Roman"/>
                <w:color w:val="000000" w:themeColor="text1"/>
                <w:sz w:val="24"/>
                <w:szCs w:val="24"/>
              </w:rPr>
              <w:t>Exigences de cautions et de garantis au-dessus de leurs capacités ;</w:t>
            </w:r>
          </w:p>
          <w:p w:rsidR="003A4BB3" w:rsidRPr="003A4BB3" w:rsidRDefault="002552D8" w:rsidP="00964F3C">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A4BB3" w:rsidRPr="003A4BB3">
              <w:rPr>
                <w:rFonts w:ascii="Times New Roman" w:hAnsi="Times New Roman" w:cs="Times New Roman"/>
                <w:color w:val="000000" w:themeColor="text1"/>
                <w:sz w:val="24"/>
                <w:szCs w:val="24"/>
              </w:rPr>
              <w:t>taux d'intérêt élevé des crédits, distance des structures bancaires du milieu rurale.</w:t>
            </w:r>
          </w:p>
        </w:tc>
        <w:tc>
          <w:tcPr>
            <w:tcW w:w="1956"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11,1</w:t>
            </w:r>
          </w:p>
        </w:tc>
      </w:tr>
      <w:tr w:rsidR="003A4BB3" w:rsidRPr="003A4BB3" w:rsidTr="003A4BB3">
        <w:trPr>
          <w:trHeight w:val="448"/>
        </w:trPr>
        <w:tc>
          <w:tcPr>
            <w:tcW w:w="1384"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Intrants agricoles</w:t>
            </w:r>
          </w:p>
        </w:tc>
        <w:tc>
          <w:tcPr>
            <w:tcW w:w="6691" w:type="dxa"/>
            <w:shd w:val="clear" w:color="auto" w:fill="auto"/>
          </w:tcPr>
          <w:p w:rsidR="003A4BB3" w:rsidRPr="003A4BB3" w:rsidRDefault="002552D8" w:rsidP="00964F3C">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E</w:t>
            </w:r>
            <w:r w:rsidR="003A4BB3" w:rsidRPr="003A4BB3">
              <w:rPr>
                <w:rFonts w:ascii="Times New Roman" w:hAnsi="Times New Roman" w:cs="Times New Roman"/>
                <w:color w:val="000000" w:themeColor="text1"/>
                <w:sz w:val="24"/>
                <w:szCs w:val="24"/>
              </w:rPr>
              <w:t>xigences de cautions et de garantis</w:t>
            </w:r>
            <w:r>
              <w:rPr>
                <w:rFonts w:ascii="Times New Roman" w:hAnsi="Times New Roman" w:cs="Times New Roman"/>
                <w:color w:val="000000" w:themeColor="text1"/>
                <w:sz w:val="24"/>
                <w:szCs w:val="24"/>
              </w:rPr>
              <w:t xml:space="preserve"> pour les prêts </w:t>
            </w:r>
          </w:p>
        </w:tc>
        <w:tc>
          <w:tcPr>
            <w:tcW w:w="1956"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7</w:t>
            </w:r>
          </w:p>
        </w:tc>
      </w:tr>
      <w:tr w:rsidR="003A4BB3" w:rsidRPr="003A4BB3" w:rsidTr="00964F3C">
        <w:trPr>
          <w:trHeight w:val="884"/>
        </w:trPr>
        <w:tc>
          <w:tcPr>
            <w:tcW w:w="1384"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Equipements agricoles</w:t>
            </w:r>
          </w:p>
        </w:tc>
        <w:tc>
          <w:tcPr>
            <w:tcW w:w="6691"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Exigences de cautions et de garantis de prêts bancaire ;</w:t>
            </w:r>
          </w:p>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dans la famille, l'acquisition de l'équipement agricole devient un acte d'indépendance pour la femme et l’enfant.</w:t>
            </w:r>
          </w:p>
        </w:tc>
        <w:tc>
          <w:tcPr>
            <w:tcW w:w="1956" w:type="dxa"/>
            <w:shd w:val="clear" w:color="auto" w:fill="auto"/>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7</w:t>
            </w:r>
          </w:p>
        </w:tc>
      </w:tr>
    </w:tbl>
    <w:p w:rsidR="003A4BB3" w:rsidRDefault="003A4BB3" w:rsidP="003A4BB3">
      <w:pPr>
        <w:jc w:val="both"/>
        <w:rPr>
          <w:rFonts w:ascii="Times New Roman" w:hAnsi="Times New Roman" w:cs="Times New Roman"/>
          <w:color w:val="000000" w:themeColor="text1"/>
          <w:sz w:val="24"/>
          <w:szCs w:val="24"/>
        </w:rPr>
      </w:pPr>
      <w:bookmarkStart w:id="19" w:name="_Toc502152041"/>
    </w:p>
    <w:p w:rsidR="003A4BB3" w:rsidRPr="003A4BB3" w:rsidRDefault="003A4BB3" w:rsidP="003A4BB3">
      <w:pPr>
        <w:pStyle w:val="Titre3"/>
        <w:jc w:val="both"/>
        <w:rPr>
          <w:rFonts w:ascii="Times New Roman" w:hAnsi="Times New Roman" w:cs="Times New Roman"/>
          <w:b/>
          <w:color w:val="000000" w:themeColor="text1"/>
        </w:rPr>
      </w:pPr>
      <w:bookmarkStart w:id="20" w:name="_Toc505329027"/>
      <w:r w:rsidRPr="003A4BB3">
        <w:rPr>
          <w:rFonts w:ascii="Times New Roman" w:hAnsi="Times New Roman" w:cs="Times New Roman"/>
          <w:b/>
          <w:color w:val="000000" w:themeColor="text1"/>
        </w:rPr>
        <w:lastRenderedPageBreak/>
        <w:t>3.6.2</w:t>
      </w:r>
      <w:r w:rsidRPr="003A4BB3">
        <w:rPr>
          <w:rFonts w:ascii="Times New Roman" w:hAnsi="Times New Roman" w:cs="Times New Roman"/>
          <w:b/>
          <w:color w:val="000000" w:themeColor="text1"/>
        </w:rPr>
        <w:tab/>
        <w:t>Segments de la chaîne de valeur où les politiques et  arrangements institutionnels</w:t>
      </w:r>
      <w:r w:rsidRPr="003A4BB3">
        <w:rPr>
          <w:rFonts w:ascii="Times New Roman" w:hAnsi="Times New Roman" w:cs="Times New Roman"/>
          <w:b/>
          <w:color w:val="000000" w:themeColor="text1"/>
        </w:rPr>
        <w:tab/>
        <w:t>assurent l'accès aux facteurs et aux marchés de production</w:t>
      </w:r>
      <w:bookmarkEnd w:id="19"/>
      <w:bookmarkEnd w:id="20"/>
    </w:p>
    <w:p w:rsidR="003A4BB3" w:rsidRDefault="003A4BB3" w:rsidP="003A4BB3">
      <w:pPr>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xml:space="preserve">Les résultats de l’étude (Tableau </w:t>
      </w:r>
      <w:r>
        <w:rPr>
          <w:rFonts w:ascii="Times New Roman" w:hAnsi="Times New Roman" w:cs="Times New Roman"/>
          <w:color w:val="000000" w:themeColor="text1"/>
          <w:sz w:val="24"/>
          <w:szCs w:val="24"/>
        </w:rPr>
        <w:t>2</w:t>
      </w:r>
      <w:r w:rsidRPr="003A4BB3">
        <w:rPr>
          <w:rFonts w:ascii="Times New Roman" w:hAnsi="Times New Roman" w:cs="Times New Roman"/>
          <w:color w:val="000000" w:themeColor="text1"/>
          <w:sz w:val="24"/>
          <w:szCs w:val="24"/>
        </w:rPr>
        <w:t>) ont montré que, dans la chaîne de valeur, les politiques et arrangements institutionnels assurent plus le segment des producteurs (78%). Celui-ci est suivi par le segment des transformateurs (39%). Les politiques qui les assurent portent sur la Loi d’Orientation Agricole (LOA) et les textes qui favorisent le regroupement des producteurs en OP, Coopératives, etc. Certains décideurs soulignent que « les femmes sont favorisées car il existe aujourd’hui, au niveau de la banque, une politique de facilitation</w:t>
      </w:r>
      <w:r w:rsidR="00B950E6">
        <w:rPr>
          <w:rFonts w:ascii="Times New Roman" w:hAnsi="Times New Roman" w:cs="Times New Roman"/>
          <w:color w:val="000000" w:themeColor="text1"/>
          <w:sz w:val="24"/>
          <w:szCs w:val="24"/>
        </w:rPr>
        <w:t xml:space="preserve"> d’accès des femmes aux crédits</w:t>
      </w:r>
      <w:r w:rsidRPr="003A4BB3">
        <w:rPr>
          <w:rFonts w:ascii="Times New Roman" w:hAnsi="Times New Roman" w:cs="Times New Roman"/>
          <w:color w:val="000000" w:themeColor="text1"/>
          <w:sz w:val="24"/>
          <w:szCs w:val="24"/>
        </w:rPr>
        <w:t>; les femmes et les jeunes sont favorisés par les conditions bancaires, aussi les institutions sont regardantes sur les dossiers de financement des jeunes et des femmes ».</w:t>
      </w:r>
    </w:p>
    <w:p w:rsidR="00B950E6" w:rsidRPr="003A4BB3" w:rsidRDefault="00B950E6" w:rsidP="003A4BB3">
      <w:pPr>
        <w:jc w:val="both"/>
        <w:rPr>
          <w:rFonts w:ascii="Times New Roman" w:hAnsi="Times New Roman" w:cs="Times New Roman"/>
          <w:color w:val="000000" w:themeColor="text1"/>
          <w:sz w:val="24"/>
          <w:szCs w:val="24"/>
        </w:rPr>
      </w:pPr>
    </w:p>
    <w:p w:rsidR="003A4BB3" w:rsidRPr="003A4BB3" w:rsidRDefault="003A4BB3" w:rsidP="00AB7055">
      <w:pPr>
        <w:spacing w:after="0"/>
        <w:jc w:val="both"/>
        <w:rPr>
          <w:rFonts w:ascii="Times New Roman" w:hAnsi="Times New Roman" w:cs="Times New Roman"/>
          <w:color w:val="000000" w:themeColor="text1"/>
          <w:sz w:val="24"/>
          <w:szCs w:val="24"/>
        </w:rPr>
      </w:pPr>
      <w:bookmarkStart w:id="21" w:name="_Toc498609119"/>
      <w:r w:rsidRPr="003A4BB3">
        <w:rPr>
          <w:rFonts w:ascii="Times New Roman" w:hAnsi="Times New Roman" w:cs="Times New Roman"/>
          <w:color w:val="000000" w:themeColor="text1"/>
          <w:sz w:val="24"/>
          <w:szCs w:val="24"/>
        </w:rPr>
        <w:t xml:space="preserve">Tableau </w:t>
      </w:r>
      <w:r>
        <w:rPr>
          <w:rFonts w:ascii="Times New Roman" w:hAnsi="Times New Roman" w:cs="Times New Roman"/>
          <w:color w:val="000000" w:themeColor="text1"/>
          <w:sz w:val="24"/>
          <w:szCs w:val="24"/>
        </w:rPr>
        <w:t>2</w:t>
      </w:r>
      <w:r w:rsidRPr="003A4BB3">
        <w:rPr>
          <w:rFonts w:ascii="Times New Roman" w:hAnsi="Times New Roman" w:cs="Times New Roman"/>
          <w:color w:val="000000" w:themeColor="text1"/>
          <w:sz w:val="24"/>
          <w:szCs w:val="24"/>
        </w:rPr>
        <w:t> : Segments de la chaîne de valeur où les politiques et  arrangements institutionnels</w:t>
      </w:r>
      <w:r w:rsidRPr="003A4BB3">
        <w:rPr>
          <w:rFonts w:ascii="Times New Roman" w:hAnsi="Times New Roman" w:cs="Times New Roman"/>
          <w:color w:val="000000" w:themeColor="text1"/>
          <w:sz w:val="24"/>
          <w:szCs w:val="24"/>
        </w:rPr>
        <w:tab/>
        <w:t xml:space="preserve">         assurent l'accès aux facteurs et aux marchés de production</w:t>
      </w:r>
      <w:bookmarkEnd w:id="21"/>
    </w:p>
    <w:tbl>
      <w:tblPr>
        <w:tblW w:w="5000" w:type="pct"/>
        <w:tblCellMar>
          <w:left w:w="70" w:type="dxa"/>
          <w:right w:w="70" w:type="dxa"/>
        </w:tblCellMar>
        <w:tblLook w:val="04A0" w:firstRow="1" w:lastRow="0" w:firstColumn="1" w:lastColumn="0" w:noHBand="0" w:noVBand="1"/>
      </w:tblPr>
      <w:tblGrid>
        <w:gridCol w:w="1907"/>
        <w:gridCol w:w="1859"/>
        <w:gridCol w:w="5240"/>
      </w:tblGrid>
      <w:tr w:rsidR="003A4BB3" w:rsidRPr="003A4BB3" w:rsidTr="00DF4AEF">
        <w:trPr>
          <w:trHeight w:val="870"/>
        </w:trPr>
        <w:tc>
          <w:tcPr>
            <w:tcW w:w="1059"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xml:space="preserve">Segments de la chaîne de valeur </w:t>
            </w:r>
          </w:p>
        </w:tc>
        <w:tc>
          <w:tcPr>
            <w:tcW w:w="1032" w:type="pct"/>
            <w:tcBorders>
              <w:top w:val="single" w:sz="8" w:space="0" w:color="auto"/>
              <w:left w:val="nil"/>
              <w:bottom w:val="single" w:sz="8" w:space="0" w:color="auto"/>
              <w:right w:val="single" w:sz="8" w:space="0" w:color="auto"/>
            </w:tcBorders>
            <w:shd w:val="clear" w:color="auto" w:fill="auto"/>
            <w:vAlign w:val="center"/>
            <w:hideMark/>
          </w:tcPr>
          <w:p w:rsidR="003A4BB3" w:rsidRPr="003A4BB3" w:rsidRDefault="003A4BB3" w:rsidP="00B950E6">
            <w:pPr>
              <w:spacing w:after="0"/>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Proportion des décideurs ayant évoqués ses segments de la chaine (%)</w:t>
            </w:r>
          </w:p>
        </w:tc>
        <w:tc>
          <w:tcPr>
            <w:tcW w:w="2908" w:type="pct"/>
            <w:tcBorders>
              <w:top w:val="single" w:sz="8" w:space="0" w:color="auto"/>
              <w:left w:val="nil"/>
              <w:bottom w:val="single" w:sz="8" w:space="0" w:color="auto"/>
              <w:right w:val="single" w:sz="8" w:space="0" w:color="auto"/>
            </w:tcBorders>
            <w:shd w:val="clear" w:color="auto" w:fill="auto"/>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Politiques et arrangements institutionnels assurant l'accès aux facteurs de production et marché</w:t>
            </w:r>
          </w:p>
        </w:tc>
      </w:tr>
      <w:tr w:rsidR="003A4BB3" w:rsidRPr="003A4BB3" w:rsidTr="00DF4AEF">
        <w:trPr>
          <w:trHeight w:val="495"/>
        </w:trPr>
        <w:tc>
          <w:tcPr>
            <w:tcW w:w="1059" w:type="pct"/>
            <w:tcBorders>
              <w:top w:val="nil"/>
              <w:left w:val="single" w:sz="8" w:space="0" w:color="auto"/>
              <w:bottom w:val="single" w:sz="8" w:space="0" w:color="auto"/>
              <w:right w:val="single" w:sz="8" w:space="0" w:color="auto"/>
            </w:tcBorders>
            <w:shd w:val="clear" w:color="auto" w:fill="auto"/>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Producteurs</w:t>
            </w:r>
          </w:p>
        </w:tc>
        <w:tc>
          <w:tcPr>
            <w:tcW w:w="1032" w:type="pct"/>
            <w:tcBorders>
              <w:top w:val="nil"/>
              <w:left w:val="nil"/>
              <w:bottom w:val="single" w:sz="8" w:space="0" w:color="auto"/>
              <w:right w:val="single" w:sz="8" w:space="0" w:color="auto"/>
            </w:tcBorders>
            <w:shd w:val="clear" w:color="auto" w:fill="auto"/>
            <w:noWrap/>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77,8</w:t>
            </w:r>
          </w:p>
        </w:tc>
        <w:tc>
          <w:tcPr>
            <w:tcW w:w="2908" w:type="pct"/>
            <w:tcBorders>
              <w:top w:val="single" w:sz="8" w:space="0" w:color="auto"/>
              <w:left w:val="nil"/>
              <w:bottom w:val="nil"/>
              <w:right w:val="single" w:sz="4" w:space="0" w:color="auto"/>
            </w:tcBorders>
            <w:shd w:val="clear" w:color="auto" w:fill="auto"/>
            <w:vAlign w:val="center"/>
            <w:hideMark/>
          </w:tcPr>
          <w:p w:rsidR="003A4BB3" w:rsidRPr="003A4BB3" w:rsidRDefault="003A4BB3" w:rsidP="00B950E6">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xml:space="preserve">  La Loi d'Orientation </w:t>
            </w:r>
            <w:r w:rsidR="00B950E6">
              <w:rPr>
                <w:rFonts w:ascii="Times New Roman" w:hAnsi="Times New Roman" w:cs="Times New Roman"/>
                <w:color w:val="000000" w:themeColor="text1"/>
                <w:sz w:val="24"/>
                <w:szCs w:val="24"/>
              </w:rPr>
              <w:t>A</w:t>
            </w:r>
            <w:r w:rsidRPr="003A4BB3">
              <w:rPr>
                <w:rFonts w:ascii="Times New Roman" w:hAnsi="Times New Roman" w:cs="Times New Roman"/>
                <w:color w:val="000000" w:themeColor="text1"/>
                <w:sz w:val="24"/>
                <w:szCs w:val="24"/>
              </w:rPr>
              <w:t xml:space="preserve">gricole, </w:t>
            </w:r>
          </w:p>
        </w:tc>
      </w:tr>
      <w:tr w:rsidR="003A4BB3" w:rsidRPr="003A4BB3" w:rsidTr="00DF4AEF">
        <w:trPr>
          <w:trHeight w:val="1215"/>
        </w:trPr>
        <w:tc>
          <w:tcPr>
            <w:tcW w:w="1059" w:type="pct"/>
            <w:tcBorders>
              <w:top w:val="nil"/>
              <w:left w:val="single" w:sz="8" w:space="0" w:color="auto"/>
              <w:bottom w:val="single" w:sz="8" w:space="0" w:color="auto"/>
              <w:right w:val="single" w:sz="8" w:space="0" w:color="auto"/>
            </w:tcBorders>
            <w:shd w:val="clear" w:color="auto" w:fill="auto"/>
            <w:noWrap/>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Commerçants</w:t>
            </w:r>
          </w:p>
        </w:tc>
        <w:tc>
          <w:tcPr>
            <w:tcW w:w="1032" w:type="pct"/>
            <w:tcBorders>
              <w:top w:val="nil"/>
              <w:left w:val="nil"/>
              <w:bottom w:val="single" w:sz="8" w:space="0" w:color="auto"/>
              <w:right w:val="single" w:sz="8" w:space="0" w:color="auto"/>
            </w:tcBorders>
            <w:shd w:val="clear" w:color="auto" w:fill="auto"/>
            <w:noWrap/>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22</w:t>
            </w:r>
          </w:p>
        </w:tc>
        <w:tc>
          <w:tcPr>
            <w:tcW w:w="2908" w:type="pct"/>
            <w:tcBorders>
              <w:top w:val="nil"/>
              <w:left w:val="nil"/>
              <w:bottom w:val="nil"/>
              <w:right w:val="single" w:sz="4" w:space="0" w:color="auto"/>
            </w:tcBorders>
            <w:shd w:val="clear" w:color="auto" w:fill="auto"/>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xml:space="preserve">  Les producteurs sont assurés par les politiques à travers la LOA qui donne un pourcentage pour les jeunes et les femmes (10% au moins par terre aménagé par l'Etat), </w:t>
            </w:r>
          </w:p>
        </w:tc>
      </w:tr>
      <w:tr w:rsidR="003A4BB3" w:rsidRPr="003A4BB3" w:rsidTr="00DF4AEF">
        <w:trPr>
          <w:trHeight w:val="1440"/>
        </w:trPr>
        <w:tc>
          <w:tcPr>
            <w:tcW w:w="1059" w:type="pct"/>
            <w:tcBorders>
              <w:top w:val="nil"/>
              <w:left w:val="single" w:sz="8" w:space="0" w:color="auto"/>
              <w:bottom w:val="single" w:sz="8" w:space="0" w:color="auto"/>
              <w:right w:val="single" w:sz="8" w:space="0" w:color="auto"/>
            </w:tcBorders>
            <w:shd w:val="clear" w:color="auto" w:fill="auto"/>
            <w:noWrap/>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Transporteurs</w:t>
            </w:r>
          </w:p>
        </w:tc>
        <w:tc>
          <w:tcPr>
            <w:tcW w:w="1032" w:type="pct"/>
            <w:tcBorders>
              <w:top w:val="nil"/>
              <w:left w:val="nil"/>
              <w:bottom w:val="single" w:sz="8" w:space="0" w:color="auto"/>
              <w:right w:val="single" w:sz="8" w:space="0" w:color="auto"/>
            </w:tcBorders>
            <w:shd w:val="clear" w:color="auto" w:fill="auto"/>
            <w:noWrap/>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16,7</w:t>
            </w:r>
          </w:p>
        </w:tc>
        <w:tc>
          <w:tcPr>
            <w:tcW w:w="2908" w:type="pct"/>
            <w:tcBorders>
              <w:top w:val="nil"/>
              <w:left w:val="nil"/>
              <w:bottom w:val="nil"/>
              <w:right w:val="single" w:sz="4" w:space="0" w:color="auto"/>
            </w:tcBorders>
            <w:shd w:val="clear" w:color="auto" w:fill="auto"/>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Dans les textes</w:t>
            </w:r>
            <w:r w:rsidR="00C16E1C">
              <w:rPr>
                <w:rFonts w:ascii="Times New Roman" w:hAnsi="Times New Roman" w:cs="Times New Roman"/>
                <w:color w:val="000000" w:themeColor="text1"/>
                <w:sz w:val="24"/>
                <w:szCs w:val="24"/>
              </w:rPr>
              <w:t>,</w:t>
            </w:r>
            <w:r w:rsidRPr="003A4BB3">
              <w:rPr>
                <w:rFonts w:ascii="Times New Roman" w:hAnsi="Times New Roman" w:cs="Times New Roman"/>
                <w:color w:val="000000" w:themeColor="text1"/>
                <w:sz w:val="24"/>
                <w:szCs w:val="24"/>
              </w:rPr>
              <w:t xml:space="preserve"> la  femme et les jeunes étant une couche vulnérable, une contribution de 20% a été instituée, mais n'ayant pas assez de ressources pour l'épargne en banque cela devient un obstacle, </w:t>
            </w:r>
          </w:p>
        </w:tc>
      </w:tr>
      <w:tr w:rsidR="003A4BB3" w:rsidRPr="003A4BB3" w:rsidTr="00DF4AEF">
        <w:trPr>
          <w:trHeight w:val="765"/>
        </w:trPr>
        <w:tc>
          <w:tcPr>
            <w:tcW w:w="1059" w:type="pct"/>
            <w:tcBorders>
              <w:top w:val="nil"/>
              <w:left w:val="single" w:sz="8" w:space="0" w:color="auto"/>
              <w:bottom w:val="single" w:sz="8" w:space="0" w:color="auto"/>
              <w:right w:val="single" w:sz="8" w:space="0" w:color="auto"/>
            </w:tcBorders>
            <w:shd w:val="clear" w:color="auto" w:fill="auto"/>
            <w:noWrap/>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Transformateurs</w:t>
            </w:r>
          </w:p>
        </w:tc>
        <w:tc>
          <w:tcPr>
            <w:tcW w:w="1032" w:type="pct"/>
            <w:tcBorders>
              <w:top w:val="nil"/>
              <w:left w:val="nil"/>
              <w:bottom w:val="single" w:sz="8" w:space="0" w:color="auto"/>
              <w:right w:val="single" w:sz="8" w:space="0" w:color="auto"/>
            </w:tcBorders>
            <w:shd w:val="clear" w:color="auto" w:fill="auto"/>
            <w:noWrap/>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38,9</w:t>
            </w:r>
          </w:p>
        </w:tc>
        <w:tc>
          <w:tcPr>
            <w:tcW w:w="2908" w:type="pct"/>
            <w:tcBorders>
              <w:top w:val="nil"/>
              <w:left w:val="nil"/>
              <w:right w:val="single" w:sz="4" w:space="0" w:color="auto"/>
            </w:tcBorders>
            <w:shd w:val="clear" w:color="auto" w:fill="auto"/>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xml:space="preserve">  La production est favorisée par les textes, mais à condition d'être dans un groupement structuré (association ou coopérative), </w:t>
            </w:r>
          </w:p>
        </w:tc>
      </w:tr>
      <w:tr w:rsidR="003A4BB3" w:rsidRPr="003A4BB3" w:rsidTr="00DF4AEF">
        <w:trPr>
          <w:trHeight w:val="1215"/>
        </w:trPr>
        <w:tc>
          <w:tcPr>
            <w:tcW w:w="1059" w:type="pct"/>
            <w:tcBorders>
              <w:top w:val="nil"/>
              <w:left w:val="single" w:sz="8" w:space="0" w:color="auto"/>
              <w:bottom w:val="single" w:sz="8" w:space="0" w:color="auto"/>
              <w:right w:val="single" w:sz="8" w:space="0" w:color="auto"/>
            </w:tcBorders>
            <w:shd w:val="clear" w:color="auto" w:fill="auto"/>
            <w:noWrap/>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Autres acteurs</w:t>
            </w:r>
          </w:p>
        </w:tc>
        <w:tc>
          <w:tcPr>
            <w:tcW w:w="1032" w:type="pct"/>
            <w:tcBorders>
              <w:top w:val="nil"/>
              <w:left w:val="nil"/>
              <w:bottom w:val="single" w:sz="8" w:space="0" w:color="auto"/>
              <w:right w:val="single" w:sz="8" w:space="0" w:color="auto"/>
            </w:tcBorders>
            <w:shd w:val="clear" w:color="auto" w:fill="auto"/>
            <w:noWrap/>
            <w:vAlign w:val="center"/>
            <w:hideMark/>
          </w:tcPr>
          <w:p w:rsidR="003A4BB3" w:rsidRPr="003A4BB3" w:rsidRDefault="003A4BB3" w:rsidP="00964F3C">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11,1</w:t>
            </w:r>
          </w:p>
        </w:tc>
        <w:tc>
          <w:tcPr>
            <w:tcW w:w="2908" w:type="pct"/>
            <w:tcBorders>
              <w:top w:val="nil"/>
              <w:left w:val="nil"/>
              <w:bottom w:val="single" w:sz="4" w:space="0" w:color="auto"/>
              <w:right w:val="single" w:sz="4" w:space="0" w:color="auto"/>
            </w:tcBorders>
            <w:shd w:val="clear" w:color="auto" w:fill="auto"/>
            <w:hideMark/>
          </w:tcPr>
          <w:p w:rsidR="003A4BB3" w:rsidRPr="003A4BB3" w:rsidRDefault="003A4BB3" w:rsidP="00964F3C">
            <w:pPr>
              <w:pBdr>
                <w:right w:val="single" w:sz="4" w:space="4" w:color="auto"/>
              </w:pBd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xml:space="preserve"> les femmes sont favorisées, car il existe </w:t>
            </w:r>
          </w:p>
          <w:p w:rsidR="003A4BB3" w:rsidRPr="003A4BB3" w:rsidRDefault="003A4BB3" w:rsidP="00964F3C">
            <w:pPr>
              <w:pBdr>
                <w:right w:val="single" w:sz="4" w:space="4" w:color="auto"/>
              </w:pBd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aujourd'hui, au niveau de la banque, une politique de facilitation</w:t>
            </w:r>
            <w:r w:rsidR="00C16E1C">
              <w:rPr>
                <w:rFonts w:ascii="Times New Roman" w:hAnsi="Times New Roman" w:cs="Times New Roman"/>
                <w:color w:val="000000" w:themeColor="text1"/>
                <w:sz w:val="24"/>
                <w:szCs w:val="24"/>
              </w:rPr>
              <w:t xml:space="preserve"> d’accès des femmes aux crédits</w:t>
            </w:r>
            <w:r w:rsidRPr="003A4BB3">
              <w:rPr>
                <w:rFonts w:ascii="Times New Roman" w:hAnsi="Times New Roman" w:cs="Times New Roman"/>
                <w:color w:val="000000" w:themeColor="text1"/>
                <w:sz w:val="24"/>
                <w:szCs w:val="24"/>
              </w:rPr>
              <w:t>; les femmes et les jeunes sont favorisés par les conditions bancaires ; aussi les institutions sont regardantes sur les dossiers de financement des jeunes et des femmes</w:t>
            </w:r>
          </w:p>
        </w:tc>
      </w:tr>
    </w:tbl>
    <w:p w:rsidR="003A4BB3" w:rsidRDefault="003A4BB3" w:rsidP="003A4BB3">
      <w:pPr>
        <w:jc w:val="both"/>
        <w:rPr>
          <w:rFonts w:ascii="Times New Roman" w:hAnsi="Times New Roman" w:cs="Times New Roman"/>
          <w:color w:val="000000" w:themeColor="text1"/>
          <w:sz w:val="24"/>
          <w:szCs w:val="24"/>
        </w:rPr>
      </w:pPr>
    </w:p>
    <w:p w:rsidR="00911A8F" w:rsidRDefault="00911A8F" w:rsidP="003A4BB3">
      <w:pPr>
        <w:jc w:val="both"/>
        <w:rPr>
          <w:rFonts w:ascii="Times New Roman" w:hAnsi="Times New Roman" w:cs="Times New Roman"/>
          <w:color w:val="000000" w:themeColor="text1"/>
          <w:sz w:val="24"/>
          <w:szCs w:val="24"/>
        </w:rPr>
      </w:pPr>
    </w:p>
    <w:p w:rsidR="00911A8F" w:rsidRPr="003A4BB3" w:rsidRDefault="00911A8F" w:rsidP="003A4BB3">
      <w:pPr>
        <w:jc w:val="both"/>
        <w:rPr>
          <w:rFonts w:ascii="Times New Roman" w:hAnsi="Times New Roman" w:cs="Times New Roman"/>
          <w:color w:val="000000" w:themeColor="text1"/>
          <w:sz w:val="24"/>
          <w:szCs w:val="24"/>
        </w:rPr>
      </w:pPr>
    </w:p>
    <w:p w:rsidR="003A4BB3" w:rsidRPr="003A4BB3" w:rsidRDefault="003A4BB3" w:rsidP="003A4BB3">
      <w:pPr>
        <w:jc w:val="both"/>
        <w:rPr>
          <w:rFonts w:ascii="Times New Roman" w:hAnsi="Times New Roman" w:cs="Times New Roman"/>
          <w:b/>
          <w:color w:val="000000" w:themeColor="text1"/>
          <w:sz w:val="24"/>
          <w:szCs w:val="24"/>
        </w:rPr>
      </w:pPr>
      <w:bookmarkStart w:id="22" w:name="_Toc502152042"/>
      <w:r w:rsidRPr="003A4BB3">
        <w:rPr>
          <w:rFonts w:ascii="Times New Roman" w:hAnsi="Times New Roman" w:cs="Times New Roman"/>
          <w:b/>
          <w:color w:val="000000" w:themeColor="text1"/>
          <w:sz w:val="24"/>
          <w:szCs w:val="24"/>
        </w:rPr>
        <w:lastRenderedPageBreak/>
        <w:t>3.6.3</w:t>
      </w:r>
      <w:r w:rsidRPr="003A4BB3">
        <w:rPr>
          <w:rFonts w:ascii="Times New Roman" w:hAnsi="Times New Roman" w:cs="Times New Roman"/>
          <w:b/>
          <w:color w:val="000000" w:themeColor="text1"/>
          <w:sz w:val="24"/>
          <w:szCs w:val="24"/>
        </w:rPr>
        <w:tab/>
        <w:t>Les mesures d'amélioration de l'accès des femmes et des jeunes aux facteurs de production et aux marchés</w:t>
      </w:r>
      <w:bookmarkEnd w:id="22"/>
    </w:p>
    <w:p w:rsidR="003A4BB3" w:rsidRDefault="003A4BB3" w:rsidP="003A4BB3">
      <w:pPr>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 xml:space="preserve">Les principales mesures d’amélioration de l’accès des femmes et des jeunes aux facteurs de production et aux marchés signalées (Tableau </w:t>
      </w:r>
      <w:r>
        <w:rPr>
          <w:rFonts w:ascii="Times New Roman" w:hAnsi="Times New Roman" w:cs="Times New Roman"/>
          <w:color w:val="000000" w:themeColor="text1"/>
          <w:sz w:val="24"/>
          <w:szCs w:val="24"/>
        </w:rPr>
        <w:t>3</w:t>
      </w:r>
      <w:r w:rsidRPr="003A4BB3">
        <w:rPr>
          <w:rFonts w:ascii="Times New Roman" w:hAnsi="Times New Roman" w:cs="Times New Roman"/>
          <w:color w:val="000000" w:themeColor="text1"/>
          <w:sz w:val="24"/>
          <w:szCs w:val="24"/>
        </w:rPr>
        <w:t>) portent sur le renforcement de l’éducation des femmes, la sensibilisation des femmes et des jeunes sur leurs droits, la prise de décision par les décideurs pour faciliter l’accès aux facteurs de production et le renforcement des capacités des femmes et des jeunes.</w:t>
      </w:r>
    </w:p>
    <w:p w:rsidR="003A4BB3" w:rsidRPr="003A4BB3" w:rsidRDefault="003A4BB3" w:rsidP="0087119E">
      <w:pPr>
        <w:spacing w:after="0"/>
        <w:jc w:val="both"/>
        <w:rPr>
          <w:rFonts w:ascii="Times New Roman" w:hAnsi="Times New Roman" w:cs="Times New Roman"/>
          <w:color w:val="000000" w:themeColor="text1"/>
          <w:sz w:val="24"/>
          <w:szCs w:val="24"/>
        </w:rPr>
      </w:pPr>
      <w:bookmarkStart w:id="23" w:name="_Toc498609120"/>
      <w:r w:rsidRPr="003A4BB3">
        <w:rPr>
          <w:rFonts w:ascii="Times New Roman" w:hAnsi="Times New Roman" w:cs="Times New Roman"/>
          <w:color w:val="000000" w:themeColor="text1"/>
          <w:sz w:val="24"/>
          <w:szCs w:val="24"/>
        </w:rPr>
        <w:t xml:space="preserve">Tableau </w:t>
      </w:r>
      <w:r>
        <w:rPr>
          <w:rFonts w:ascii="Times New Roman" w:hAnsi="Times New Roman" w:cs="Times New Roman"/>
          <w:color w:val="000000" w:themeColor="text1"/>
          <w:sz w:val="24"/>
          <w:szCs w:val="24"/>
        </w:rPr>
        <w:t>3</w:t>
      </w:r>
      <w:r w:rsidRPr="003A4BB3">
        <w:rPr>
          <w:rFonts w:ascii="Times New Roman" w:hAnsi="Times New Roman" w:cs="Times New Roman"/>
          <w:color w:val="000000" w:themeColor="text1"/>
          <w:sz w:val="24"/>
          <w:szCs w:val="24"/>
        </w:rPr>
        <w:t> : Mesures d'amélioration de l'accès des femmes et des jeunes aux facteurs de</w:t>
      </w:r>
      <w:r w:rsidRPr="003A4BB3">
        <w:rPr>
          <w:rFonts w:ascii="Times New Roman" w:hAnsi="Times New Roman" w:cs="Times New Roman"/>
          <w:color w:val="000000" w:themeColor="text1"/>
          <w:sz w:val="24"/>
          <w:szCs w:val="24"/>
        </w:rPr>
        <w:tab/>
      </w:r>
      <w:r w:rsidRPr="003A4BB3">
        <w:rPr>
          <w:rFonts w:ascii="Times New Roman" w:hAnsi="Times New Roman" w:cs="Times New Roman"/>
          <w:color w:val="000000" w:themeColor="text1"/>
          <w:sz w:val="24"/>
          <w:szCs w:val="24"/>
        </w:rPr>
        <w:tab/>
        <w:t xml:space="preserve">         production et aux marchés</w:t>
      </w:r>
      <w:bookmarkEnd w:id="23"/>
    </w:p>
    <w:tbl>
      <w:tblPr>
        <w:tblW w:w="5000" w:type="pct"/>
        <w:tblLayout w:type="fixed"/>
        <w:tblCellMar>
          <w:left w:w="70" w:type="dxa"/>
          <w:right w:w="70" w:type="dxa"/>
        </w:tblCellMar>
        <w:tblLook w:val="04A0" w:firstRow="1" w:lastRow="0" w:firstColumn="1" w:lastColumn="0" w:noHBand="0" w:noVBand="1"/>
      </w:tblPr>
      <w:tblGrid>
        <w:gridCol w:w="7337"/>
        <w:gridCol w:w="1679"/>
      </w:tblGrid>
      <w:tr w:rsidR="003A4BB3" w:rsidRPr="003A4BB3" w:rsidTr="0087119E">
        <w:trPr>
          <w:trHeight w:val="1062"/>
        </w:trPr>
        <w:tc>
          <w:tcPr>
            <w:tcW w:w="406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Mesures d’amélioration de l’accès des femmes et des jeunes aux facteurs de production</w:t>
            </w:r>
          </w:p>
        </w:tc>
        <w:tc>
          <w:tcPr>
            <w:tcW w:w="931" w:type="pct"/>
            <w:tcBorders>
              <w:top w:val="single" w:sz="4" w:space="0" w:color="auto"/>
              <w:left w:val="nil"/>
              <w:bottom w:val="single" w:sz="4" w:space="0" w:color="auto"/>
              <w:right w:val="single" w:sz="4" w:space="0" w:color="auto"/>
            </w:tcBorders>
            <w:shd w:val="clear" w:color="auto" w:fill="auto"/>
            <w:noWrap/>
            <w:vAlign w:val="bottom"/>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Proportion des décideurs ayant évoqués la mesure (%)</w:t>
            </w:r>
          </w:p>
        </w:tc>
      </w:tr>
      <w:tr w:rsidR="003A4BB3" w:rsidRPr="003A4BB3" w:rsidTr="00DF4AEF">
        <w:trPr>
          <w:trHeight w:val="520"/>
        </w:trPr>
        <w:tc>
          <w:tcPr>
            <w:tcW w:w="4069" w:type="pct"/>
            <w:tcBorders>
              <w:top w:val="nil"/>
              <w:left w:val="single" w:sz="4" w:space="0" w:color="auto"/>
              <w:bottom w:val="single" w:sz="4" w:space="0" w:color="auto"/>
              <w:right w:val="single" w:sz="4" w:space="0" w:color="auto"/>
            </w:tcBorders>
            <w:shd w:val="clear" w:color="auto" w:fill="auto"/>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Renforcer l'éducation, la sensibilisation des femmes et des jeunes  sur leurs droits</w:t>
            </w:r>
          </w:p>
        </w:tc>
        <w:tc>
          <w:tcPr>
            <w:tcW w:w="931" w:type="pct"/>
            <w:tcBorders>
              <w:top w:val="nil"/>
              <w:left w:val="nil"/>
              <w:bottom w:val="single" w:sz="4" w:space="0" w:color="auto"/>
              <w:right w:val="single" w:sz="4" w:space="0" w:color="auto"/>
            </w:tcBorders>
            <w:shd w:val="clear" w:color="auto" w:fill="auto"/>
            <w:noWrap/>
            <w:hideMark/>
          </w:tcPr>
          <w:p w:rsidR="003A4BB3" w:rsidRPr="003A4BB3" w:rsidRDefault="003A4BB3" w:rsidP="003A4BB3">
            <w:pPr>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38,9</w:t>
            </w:r>
          </w:p>
        </w:tc>
      </w:tr>
      <w:tr w:rsidR="003A4BB3" w:rsidRPr="003A4BB3" w:rsidTr="00DF4AEF">
        <w:trPr>
          <w:trHeight w:val="415"/>
        </w:trPr>
        <w:tc>
          <w:tcPr>
            <w:tcW w:w="4069" w:type="pct"/>
            <w:tcBorders>
              <w:top w:val="nil"/>
              <w:left w:val="single" w:sz="4" w:space="0" w:color="auto"/>
              <w:bottom w:val="single" w:sz="4" w:space="0" w:color="auto"/>
              <w:right w:val="single" w:sz="4" w:space="0" w:color="auto"/>
            </w:tcBorders>
            <w:shd w:val="clear" w:color="auto" w:fill="auto"/>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Permettre d'être propriétaire de terre comme les hommes</w:t>
            </w:r>
          </w:p>
        </w:tc>
        <w:tc>
          <w:tcPr>
            <w:tcW w:w="931" w:type="pct"/>
            <w:tcBorders>
              <w:top w:val="nil"/>
              <w:left w:val="nil"/>
              <w:bottom w:val="single" w:sz="4" w:space="0" w:color="auto"/>
              <w:right w:val="single" w:sz="4" w:space="0" w:color="auto"/>
            </w:tcBorders>
            <w:shd w:val="clear" w:color="auto" w:fill="auto"/>
            <w:noWrap/>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5,6</w:t>
            </w:r>
          </w:p>
        </w:tc>
      </w:tr>
      <w:tr w:rsidR="003A4BB3" w:rsidRPr="003A4BB3" w:rsidTr="00DF4AEF">
        <w:trPr>
          <w:trHeight w:val="705"/>
        </w:trPr>
        <w:tc>
          <w:tcPr>
            <w:tcW w:w="4069" w:type="pct"/>
            <w:tcBorders>
              <w:top w:val="nil"/>
              <w:left w:val="single" w:sz="4" w:space="0" w:color="auto"/>
              <w:bottom w:val="single" w:sz="4" w:space="0" w:color="auto"/>
              <w:right w:val="single" w:sz="4" w:space="0" w:color="auto"/>
            </w:tcBorders>
            <w:shd w:val="clear" w:color="auto" w:fill="auto"/>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Prendre des lois/décisions pour faciliter l'accès des femmes et des jeunes aux facteurs de production par les décideurs politiques</w:t>
            </w:r>
          </w:p>
        </w:tc>
        <w:tc>
          <w:tcPr>
            <w:tcW w:w="931" w:type="pct"/>
            <w:tcBorders>
              <w:top w:val="nil"/>
              <w:left w:val="nil"/>
              <w:bottom w:val="single" w:sz="4" w:space="0" w:color="auto"/>
              <w:right w:val="single" w:sz="4" w:space="0" w:color="auto"/>
            </w:tcBorders>
            <w:shd w:val="clear" w:color="auto" w:fill="auto"/>
            <w:noWrap/>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16,7</w:t>
            </w:r>
          </w:p>
        </w:tc>
      </w:tr>
      <w:tr w:rsidR="003A4BB3" w:rsidRPr="003A4BB3" w:rsidTr="00DF4AEF">
        <w:trPr>
          <w:trHeight w:val="403"/>
        </w:trPr>
        <w:tc>
          <w:tcPr>
            <w:tcW w:w="4069" w:type="pct"/>
            <w:tcBorders>
              <w:top w:val="nil"/>
              <w:left w:val="single" w:sz="4" w:space="0" w:color="auto"/>
              <w:bottom w:val="single" w:sz="4" w:space="0" w:color="auto"/>
              <w:right w:val="single" w:sz="4" w:space="0" w:color="auto"/>
            </w:tcBorders>
            <w:shd w:val="clear" w:color="auto" w:fill="auto"/>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Renforcer les capacités des femmes et des jeunes</w:t>
            </w:r>
          </w:p>
        </w:tc>
        <w:tc>
          <w:tcPr>
            <w:tcW w:w="931" w:type="pct"/>
            <w:tcBorders>
              <w:top w:val="nil"/>
              <w:left w:val="nil"/>
              <w:bottom w:val="single" w:sz="4" w:space="0" w:color="auto"/>
              <w:right w:val="single" w:sz="4" w:space="0" w:color="auto"/>
            </w:tcBorders>
            <w:shd w:val="clear" w:color="auto" w:fill="auto"/>
            <w:noWrap/>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11,0</w:t>
            </w:r>
          </w:p>
        </w:tc>
      </w:tr>
      <w:tr w:rsidR="003A4BB3" w:rsidRPr="003A4BB3" w:rsidTr="00DF4AEF">
        <w:trPr>
          <w:trHeight w:val="281"/>
        </w:trPr>
        <w:tc>
          <w:tcPr>
            <w:tcW w:w="4069" w:type="pct"/>
            <w:tcBorders>
              <w:top w:val="nil"/>
              <w:left w:val="single" w:sz="4" w:space="0" w:color="auto"/>
              <w:bottom w:val="single" w:sz="4" w:space="0" w:color="auto"/>
              <w:right w:val="single" w:sz="4" w:space="0" w:color="auto"/>
            </w:tcBorders>
            <w:shd w:val="clear" w:color="auto" w:fill="auto"/>
            <w:vAlign w:val="bottom"/>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Regrouper les femmes et les jeunes en association ou en coopératives</w:t>
            </w:r>
          </w:p>
        </w:tc>
        <w:tc>
          <w:tcPr>
            <w:tcW w:w="931" w:type="pct"/>
            <w:tcBorders>
              <w:top w:val="nil"/>
              <w:left w:val="nil"/>
              <w:bottom w:val="single" w:sz="4" w:space="0" w:color="auto"/>
              <w:right w:val="single" w:sz="4" w:space="0" w:color="auto"/>
            </w:tcBorders>
            <w:shd w:val="clear" w:color="auto" w:fill="auto"/>
            <w:noWrap/>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5,6</w:t>
            </w:r>
          </w:p>
        </w:tc>
      </w:tr>
      <w:tr w:rsidR="003A4BB3" w:rsidRPr="003A4BB3" w:rsidTr="00DF4AEF">
        <w:trPr>
          <w:trHeight w:val="412"/>
        </w:trPr>
        <w:tc>
          <w:tcPr>
            <w:tcW w:w="4069" w:type="pct"/>
            <w:tcBorders>
              <w:top w:val="nil"/>
              <w:left w:val="single" w:sz="4" w:space="0" w:color="auto"/>
              <w:bottom w:val="single" w:sz="4" w:space="0" w:color="auto"/>
              <w:right w:val="single" w:sz="4" w:space="0" w:color="auto"/>
            </w:tcBorders>
            <w:shd w:val="clear" w:color="auto" w:fill="auto"/>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Initier des fonds de garantis de prêts bancaires pour les couches vulnérables comme les femmes et les jeunes</w:t>
            </w:r>
          </w:p>
        </w:tc>
        <w:tc>
          <w:tcPr>
            <w:tcW w:w="931" w:type="pct"/>
            <w:tcBorders>
              <w:top w:val="nil"/>
              <w:left w:val="nil"/>
              <w:bottom w:val="single" w:sz="4" w:space="0" w:color="auto"/>
              <w:right w:val="single" w:sz="4" w:space="0" w:color="auto"/>
            </w:tcBorders>
            <w:shd w:val="clear" w:color="auto" w:fill="auto"/>
            <w:noWrap/>
            <w:hideMark/>
          </w:tcPr>
          <w:p w:rsidR="003A4BB3" w:rsidRPr="003A4BB3" w:rsidRDefault="003A4BB3" w:rsidP="0087119E">
            <w:pPr>
              <w:spacing w:after="0"/>
              <w:jc w:val="both"/>
              <w:rPr>
                <w:rFonts w:ascii="Times New Roman" w:hAnsi="Times New Roman" w:cs="Times New Roman"/>
                <w:color w:val="000000" w:themeColor="text1"/>
                <w:sz w:val="24"/>
                <w:szCs w:val="24"/>
              </w:rPr>
            </w:pPr>
            <w:r w:rsidRPr="003A4BB3">
              <w:rPr>
                <w:rFonts w:ascii="Times New Roman" w:hAnsi="Times New Roman" w:cs="Times New Roman"/>
                <w:color w:val="000000" w:themeColor="text1"/>
                <w:sz w:val="24"/>
                <w:szCs w:val="24"/>
              </w:rPr>
              <w:t>5,6</w:t>
            </w:r>
          </w:p>
        </w:tc>
      </w:tr>
    </w:tbl>
    <w:p w:rsidR="00CD6199" w:rsidRPr="00AA4E95" w:rsidRDefault="00AD03A3" w:rsidP="00AA4E95">
      <w:pPr>
        <w:pStyle w:val="Titre1"/>
        <w:rPr>
          <w:rFonts w:ascii="Times New Roman" w:hAnsi="Times New Roman" w:cs="Times New Roman"/>
          <w:b/>
          <w:color w:val="000000" w:themeColor="text1"/>
          <w:sz w:val="24"/>
          <w:szCs w:val="24"/>
        </w:rPr>
      </w:pPr>
      <w:bookmarkStart w:id="24" w:name="_Toc505329028"/>
      <w:bookmarkStart w:id="25" w:name="_GoBack"/>
      <w:bookmarkEnd w:id="25"/>
      <w:r w:rsidRPr="00AA4E95">
        <w:rPr>
          <w:rFonts w:ascii="Times New Roman" w:hAnsi="Times New Roman" w:cs="Times New Roman"/>
          <w:b/>
          <w:color w:val="000000" w:themeColor="text1"/>
          <w:sz w:val="24"/>
          <w:szCs w:val="24"/>
        </w:rPr>
        <w:t>4.</w:t>
      </w:r>
      <w:r w:rsidRPr="00AA4E95">
        <w:rPr>
          <w:rFonts w:ascii="Times New Roman" w:hAnsi="Times New Roman" w:cs="Times New Roman"/>
          <w:b/>
          <w:color w:val="000000" w:themeColor="text1"/>
          <w:sz w:val="24"/>
          <w:szCs w:val="24"/>
        </w:rPr>
        <w:tab/>
        <w:t>Conclusion et recommandations</w:t>
      </w:r>
      <w:bookmarkEnd w:id="24"/>
    </w:p>
    <w:p w:rsidR="00AE4E5F" w:rsidRDefault="00304091" w:rsidP="00304091">
      <w:pPr>
        <w:jc w:val="both"/>
        <w:rPr>
          <w:rFonts w:ascii="Times New Roman" w:hAnsi="Times New Roman" w:cs="Times New Roman"/>
          <w:color w:val="000000" w:themeColor="text1"/>
          <w:sz w:val="24"/>
          <w:szCs w:val="24"/>
        </w:rPr>
      </w:pPr>
      <w:r w:rsidRPr="00304091">
        <w:rPr>
          <w:rFonts w:ascii="Times New Roman" w:hAnsi="Times New Roman" w:cs="Times New Roman"/>
          <w:color w:val="000000" w:themeColor="text1"/>
          <w:sz w:val="24"/>
          <w:szCs w:val="24"/>
        </w:rPr>
        <w:t xml:space="preserve">Les résultats ont montré </w:t>
      </w:r>
      <w:r w:rsidR="00AE4E5F">
        <w:rPr>
          <w:rFonts w:ascii="Times New Roman" w:hAnsi="Times New Roman" w:cs="Times New Roman"/>
          <w:color w:val="000000" w:themeColor="text1"/>
          <w:sz w:val="24"/>
          <w:szCs w:val="24"/>
        </w:rPr>
        <w:t>que p</w:t>
      </w:r>
      <w:r w:rsidRPr="00304091">
        <w:rPr>
          <w:rFonts w:ascii="Times New Roman" w:hAnsi="Times New Roman" w:cs="Times New Roman"/>
          <w:color w:val="000000" w:themeColor="text1"/>
          <w:sz w:val="24"/>
          <w:szCs w:val="24"/>
        </w:rPr>
        <w:t xml:space="preserve">armi les politiques favorisant l’accès </w:t>
      </w:r>
      <w:r w:rsidR="00AE4E5F">
        <w:rPr>
          <w:rFonts w:ascii="Times New Roman" w:hAnsi="Times New Roman" w:cs="Times New Roman"/>
          <w:color w:val="000000" w:themeColor="text1"/>
          <w:sz w:val="24"/>
          <w:szCs w:val="24"/>
        </w:rPr>
        <w:t xml:space="preserve">aux facteurs de production et aux marchés figure la Loi d’Orientation Agricole (LOA), car </w:t>
      </w:r>
      <w:r w:rsidR="00AE4E5F" w:rsidRPr="00762E6E">
        <w:rPr>
          <w:rFonts w:ascii="Times New Roman" w:hAnsi="Times New Roman" w:cs="Times New Roman"/>
          <w:sz w:val="24"/>
          <w:szCs w:val="24"/>
        </w:rPr>
        <w:t xml:space="preserve">Cette loi </w:t>
      </w:r>
      <w:r w:rsidR="00AE4E5F">
        <w:rPr>
          <w:rFonts w:ascii="Times New Roman" w:hAnsi="Times New Roman" w:cs="Times New Roman"/>
          <w:sz w:val="24"/>
          <w:szCs w:val="24"/>
        </w:rPr>
        <w:t>en son article 24 stipule que «</w:t>
      </w:r>
      <w:r w:rsidR="00AE4E5F" w:rsidRPr="00762E6E">
        <w:rPr>
          <w:rFonts w:ascii="Times New Roman" w:hAnsi="Times New Roman" w:cs="Times New Roman"/>
          <w:sz w:val="24"/>
          <w:szCs w:val="24"/>
        </w:rPr>
        <w:t>L’Etat privilégie l’installation des jeunes, des femmes et des groupes vulnérables, comme exploitants agricoles, notamment en favorisant leur accès aux facteurs de production et par des mécanismes d’appuis techni</w:t>
      </w:r>
      <w:r w:rsidR="00AE4E5F">
        <w:rPr>
          <w:rFonts w:ascii="Times New Roman" w:hAnsi="Times New Roman" w:cs="Times New Roman"/>
          <w:sz w:val="24"/>
          <w:szCs w:val="24"/>
        </w:rPr>
        <w:t>ques ou financiers particuliers</w:t>
      </w:r>
      <w:r w:rsidR="00AE4E5F" w:rsidRPr="00762E6E">
        <w:rPr>
          <w:rFonts w:ascii="Times New Roman" w:hAnsi="Times New Roman" w:cs="Times New Roman"/>
          <w:sz w:val="24"/>
          <w:szCs w:val="24"/>
        </w:rPr>
        <w:t>». Ce même document (L</w:t>
      </w:r>
      <w:r w:rsidR="00C16E1C">
        <w:rPr>
          <w:rFonts w:ascii="Times New Roman" w:hAnsi="Times New Roman" w:cs="Times New Roman"/>
          <w:sz w:val="24"/>
          <w:szCs w:val="24"/>
        </w:rPr>
        <w:t xml:space="preserve">OA) dit en son article 8 </w:t>
      </w:r>
      <w:r w:rsidR="00AE4E5F">
        <w:rPr>
          <w:rFonts w:ascii="Times New Roman" w:hAnsi="Times New Roman" w:cs="Times New Roman"/>
          <w:sz w:val="24"/>
          <w:szCs w:val="24"/>
        </w:rPr>
        <w:t>que «</w:t>
      </w:r>
      <w:r w:rsidR="00AE4E5F" w:rsidRPr="00762E6E">
        <w:rPr>
          <w:rFonts w:ascii="Times New Roman" w:hAnsi="Times New Roman" w:cs="Times New Roman"/>
          <w:sz w:val="24"/>
          <w:szCs w:val="24"/>
        </w:rPr>
        <w:t>La politique de développement agricole vise à assurer la promotion des femmes et des hommes qui vivent du secteur agricole dans le respect de l’équité, notamment entre le milieu rural et urbain. Elle consacre le droit à la sécurité alimentaire pour tous dans le contexte recherché de souveraineté alimentaire ».  En outre, à l’Article 45: l’Etat favorise l’équité entre les femmes et les hommes en milieu rural, en particulier dans l’exploitation agricole.</w:t>
      </w:r>
    </w:p>
    <w:p w:rsidR="00304091" w:rsidRPr="00304091" w:rsidRDefault="00304091" w:rsidP="00304091">
      <w:pPr>
        <w:jc w:val="both"/>
        <w:rPr>
          <w:rFonts w:ascii="Times New Roman" w:hAnsi="Times New Roman" w:cs="Times New Roman"/>
          <w:color w:val="000000" w:themeColor="text1"/>
          <w:sz w:val="24"/>
          <w:szCs w:val="24"/>
        </w:rPr>
      </w:pPr>
      <w:r w:rsidRPr="00304091">
        <w:rPr>
          <w:rFonts w:ascii="Times New Roman" w:hAnsi="Times New Roman" w:cs="Times New Roman"/>
          <w:color w:val="000000" w:themeColor="text1"/>
          <w:sz w:val="24"/>
          <w:szCs w:val="24"/>
        </w:rPr>
        <w:t xml:space="preserve">Par opposition, </w:t>
      </w:r>
      <w:r w:rsidR="00AE4E5F">
        <w:rPr>
          <w:rFonts w:ascii="Times New Roman" w:hAnsi="Times New Roman" w:cs="Times New Roman"/>
          <w:color w:val="000000" w:themeColor="text1"/>
          <w:sz w:val="24"/>
          <w:szCs w:val="24"/>
        </w:rPr>
        <w:t xml:space="preserve">parmi </w:t>
      </w:r>
      <w:r w:rsidRPr="00304091">
        <w:rPr>
          <w:rFonts w:ascii="Times New Roman" w:hAnsi="Times New Roman" w:cs="Times New Roman"/>
          <w:color w:val="000000" w:themeColor="text1"/>
          <w:sz w:val="24"/>
          <w:szCs w:val="24"/>
        </w:rPr>
        <w:t xml:space="preserve">les politiques </w:t>
      </w:r>
      <w:r w:rsidR="00AE4E5F">
        <w:rPr>
          <w:rFonts w:ascii="Times New Roman" w:hAnsi="Times New Roman" w:cs="Times New Roman"/>
          <w:color w:val="000000" w:themeColor="text1"/>
          <w:sz w:val="24"/>
          <w:szCs w:val="24"/>
        </w:rPr>
        <w:t>qui entravent</w:t>
      </w:r>
      <w:r w:rsidRPr="00304091">
        <w:rPr>
          <w:rFonts w:ascii="Times New Roman" w:hAnsi="Times New Roman" w:cs="Times New Roman"/>
          <w:color w:val="000000" w:themeColor="text1"/>
          <w:sz w:val="24"/>
          <w:szCs w:val="24"/>
        </w:rPr>
        <w:t xml:space="preserve"> l’accès des femmes et des jeunes </w:t>
      </w:r>
      <w:r w:rsidR="00AE4E5F">
        <w:rPr>
          <w:rFonts w:ascii="Times New Roman" w:hAnsi="Times New Roman" w:cs="Times New Roman"/>
          <w:color w:val="000000" w:themeColor="text1"/>
          <w:sz w:val="24"/>
          <w:szCs w:val="24"/>
        </w:rPr>
        <w:t xml:space="preserve">aux facteurs de production </w:t>
      </w:r>
      <w:r w:rsidRPr="00304091">
        <w:rPr>
          <w:rFonts w:ascii="Times New Roman" w:hAnsi="Times New Roman" w:cs="Times New Roman"/>
          <w:color w:val="000000" w:themeColor="text1"/>
          <w:sz w:val="24"/>
          <w:szCs w:val="24"/>
        </w:rPr>
        <w:t xml:space="preserve">aux marchés </w:t>
      </w:r>
      <w:r w:rsidR="00AE4E5F">
        <w:rPr>
          <w:rFonts w:ascii="Times New Roman" w:hAnsi="Times New Roman" w:cs="Times New Roman"/>
          <w:color w:val="000000" w:themeColor="text1"/>
          <w:sz w:val="24"/>
          <w:szCs w:val="24"/>
        </w:rPr>
        <w:t>figurent</w:t>
      </w:r>
      <w:r w:rsidRPr="00304091">
        <w:rPr>
          <w:rFonts w:ascii="Times New Roman" w:hAnsi="Times New Roman" w:cs="Times New Roman"/>
          <w:color w:val="000000" w:themeColor="text1"/>
          <w:sz w:val="24"/>
          <w:szCs w:val="24"/>
        </w:rPr>
        <w:t xml:space="preserve"> le code de mariage et de la famille</w:t>
      </w:r>
      <w:r w:rsidR="00C16E1C">
        <w:rPr>
          <w:rFonts w:ascii="Times New Roman" w:hAnsi="Times New Roman" w:cs="Times New Roman"/>
          <w:color w:val="000000" w:themeColor="text1"/>
          <w:sz w:val="24"/>
          <w:szCs w:val="24"/>
        </w:rPr>
        <w:t xml:space="preserve">, </w:t>
      </w:r>
      <w:r w:rsidR="00AE4E5F">
        <w:rPr>
          <w:rFonts w:ascii="Times New Roman" w:hAnsi="Times New Roman" w:cs="Times New Roman"/>
          <w:color w:val="000000" w:themeColor="text1"/>
          <w:sz w:val="24"/>
          <w:szCs w:val="24"/>
        </w:rPr>
        <w:t xml:space="preserve"> le poids de la tradition</w:t>
      </w:r>
      <w:r w:rsidR="00C16E1C">
        <w:rPr>
          <w:rFonts w:ascii="Times New Roman" w:hAnsi="Times New Roman" w:cs="Times New Roman"/>
          <w:color w:val="000000" w:themeColor="text1"/>
          <w:sz w:val="24"/>
          <w:szCs w:val="24"/>
        </w:rPr>
        <w:t>, le taux d’intérêt des crédits bancaires trop élevé et les exigences de garantis pour l’obtention du crédit</w:t>
      </w:r>
      <w:r w:rsidRPr="00304091">
        <w:rPr>
          <w:rFonts w:ascii="Times New Roman" w:hAnsi="Times New Roman" w:cs="Times New Roman"/>
          <w:color w:val="000000" w:themeColor="text1"/>
          <w:sz w:val="24"/>
          <w:szCs w:val="24"/>
        </w:rPr>
        <w:t>.</w:t>
      </w:r>
    </w:p>
    <w:p w:rsidR="00304091" w:rsidRPr="00304091" w:rsidRDefault="00304091" w:rsidP="00304091">
      <w:pPr>
        <w:jc w:val="both"/>
        <w:rPr>
          <w:rFonts w:ascii="Times New Roman" w:hAnsi="Times New Roman" w:cs="Times New Roman"/>
          <w:color w:val="000000" w:themeColor="text1"/>
          <w:sz w:val="24"/>
          <w:szCs w:val="24"/>
        </w:rPr>
      </w:pPr>
      <w:r w:rsidRPr="00304091">
        <w:rPr>
          <w:rFonts w:ascii="Times New Roman" w:hAnsi="Times New Roman" w:cs="Times New Roman"/>
          <w:color w:val="000000" w:themeColor="text1"/>
          <w:sz w:val="24"/>
          <w:szCs w:val="24"/>
        </w:rPr>
        <w:lastRenderedPageBreak/>
        <w:t>Au terme de cette étude, au nombre des recommandations pouvant être faites, on peut retenir, entre autres, les suivantes :</w:t>
      </w:r>
    </w:p>
    <w:p w:rsidR="00304091" w:rsidRPr="00304091" w:rsidRDefault="00304091" w:rsidP="00304091">
      <w:pPr>
        <w:pStyle w:val="Paragraphedeliste"/>
        <w:numPr>
          <w:ilvl w:val="0"/>
          <w:numId w:val="4"/>
        </w:numPr>
        <w:jc w:val="both"/>
        <w:rPr>
          <w:rFonts w:ascii="Times New Roman" w:hAnsi="Times New Roman" w:cs="Times New Roman"/>
          <w:color w:val="000000" w:themeColor="text1"/>
          <w:sz w:val="24"/>
          <w:szCs w:val="24"/>
        </w:rPr>
      </w:pPr>
      <w:r w:rsidRPr="00304091">
        <w:rPr>
          <w:rFonts w:ascii="Times New Roman" w:hAnsi="Times New Roman" w:cs="Times New Roman"/>
          <w:color w:val="000000" w:themeColor="text1"/>
          <w:sz w:val="24"/>
          <w:szCs w:val="24"/>
        </w:rPr>
        <w:t>Recommandation aux décideurs pour que l’accent soit mis sur le renforcement de l’éducation des femmes, la sensibilisation des femmes et des jeunes sur leurs droits ;</w:t>
      </w:r>
    </w:p>
    <w:p w:rsidR="00304091" w:rsidRPr="00304091" w:rsidRDefault="00304091" w:rsidP="00304091">
      <w:pPr>
        <w:pStyle w:val="Paragraphedeliste"/>
        <w:numPr>
          <w:ilvl w:val="0"/>
          <w:numId w:val="4"/>
        </w:numPr>
        <w:jc w:val="both"/>
        <w:rPr>
          <w:rFonts w:ascii="Times New Roman" w:hAnsi="Times New Roman" w:cs="Times New Roman"/>
          <w:color w:val="000000" w:themeColor="text1"/>
          <w:sz w:val="24"/>
          <w:szCs w:val="24"/>
        </w:rPr>
      </w:pPr>
      <w:r w:rsidRPr="00304091">
        <w:rPr>
          <w:rFonts w:ascii="Times New Roman" w:hAnsi="Times New Roman" w:cs="Times New Roman"/>
          <w:color w:val="000000" w:themeColor="text1"/>
          <w:sz w:val="24"/>
          <w:szCs w:val="24"/>
        </w:rPr>
        <w:t>Recommandation aux décideurs pour la mise en œuvre de décisions facilitant l’accès des femmes et des jeunes aux facteurs de production (terre et équipements agricoles) ;</w:t>
      </w:r>
    </w:p>
    <w:p w:rsidR="00304091" w:rsidRPr="00304091" w:rsidRDefault="00304091" w:rsidP="00304091">
      <w:pPr>
        <w:pStyle w:val="Paragraphedeliste"/>
        <w:numPr>
          <w:ilvl w:val="0"/>
          <w:numId w:val="4"/>
        </w:numPr>
        <w:jc w:val="both"/>
        <w:rPr>
          <w:rFonts w:ascii="Times New Roman" w:hAnsi="Times New Roman" w:cs="Times New Roman"/>
          <w:color w:val="000000" w:themeColor="text1"/>
          <w:sz w:val="24"/>
          <w:szCs w:val="24"/>
        </w:rPr>
      </w:pPr>
      <w:r w:rsidRPr="00304091">
        <w:rPr>
          <w:rFonts w:ascii="Times New Roman" w:hAnsi="Times New Roman" w:cs="Times New Roman"/>
          <w:color w:val="000000" w:themeColor="text1"/>
          <w:sz w:val="24"/>
          <w:szCs w:val="24"/>
        </w:rPr>
        <w:t>Recommandation à l’Etat pour la création d’un cadre favorable (partenariat) entre banques et productrices afin de faciliter l’obtention de crédits pour les femmes et les jeunes ;</w:t>
      </w:r>
    </w:p>
    <w:p w:rsidR="00304091" w:rsidRPr="00304091" w:rsidRDefault="00304091" w:rsidP="00304091">
      <w:pPr>
        <w:pStyle w:val="Paragraphedeliste"/>
        <w:numPr>
          <w:ilvl w:val="0"/>
          <w:numId w:val="4"/>
        </w:numPr>
        <w:jc w:val="both"/>
        <w:rPr>
          <w:rFonts w:ascii="Times New Roman" w:hAnsi="Times New Roman" w:cs="Times New Roman"/>
          <w:color w:val="000000" w:themeColor="text1"/>
          <w:sz w:val="24"/>
          <w:szCs w:val="24"/>
        </w:rPr>
      </w:pPr>
      <w:r w:rsidRPr="00304091">
        <w:rPr>
          <w:rFonts w:ascii="Times New Roman" w:hAnsi="Times New Roman" w:cs="Times New Roman"/>
          <w:color w:val="000000" w:themeColor="text1"/>
          <w:sz w:val="24"/>
          <w:szCs w:val="24"/>
        </w:rPr>
        <w:t xml:space="preserve">Recommandation aux décideurs pour la mise en œuvre de décisions favorisant le regroupement officiel des productrices en OP et Coopératives en facilitant l’obtention de récépissé ; </w:t>
      </w:r>
    </w:p>
    <w:p w:rsidR="00304091" w:rsidRPr="00304091" w:rsidRDefault="00304091" w:rsidP="00304091">
      <w:pPr>
        <w:pStyle w:val="Paragraphedeliste"/>
        <w:numPr>
          <w:ilvl w:val="0"/>
          <w:numId w:val="4"/>
        </w:numPr>
        <w:jc w:val="both"/>
        <w:rPr>
          <w:rFonts w:ascii="Times New Roman" w:hAnsi="Times New Roman" w:cs="Times New Roman"/>
          <w:color w:val="000000" w:themeColor="text1"/>
          <w:sz w:val="24"/>
          <w:szCs w:val="24"/>
        </w:rPr>
      </w:pPr>
      <w:r w:rsidRPr="00304091">
        <w:rPr>
          <w:rFonts w:ascii="Times New Roman" w:hAnsi="Times New Roman" w:cs="Times New Roman"/>
          <w:color w:val="000000" w:themeColor="text1"/>
          <w:sz w:val="24"/>
          <w:szCs w:val="24"/>
        </w:rPr>
        <w:t>Recommandation à l’Etat pour une révision du code de mariage et de la famille afin de respecter l’équité du genre.</w:t>
      </w:r>
    </w:p>
    <w:p w:rsidR="00304091" w:rsidRPr="00304091" w:rsidRDefault="00304091" w:rsidP="00304091">
      <w:pPr>
        <w:jc w:val="both"/>
        <w:rPr>
          <w:rFonts w:ascii="Times New Roman" w:hAnsi="Times New Roman" w:cs="Times New Roman"/>
          <w:color w:val="000000" w:themeColor="text1"/>
          <w:sz w:val="24"/>
          <w:szCs w:val="24"/>
        </w:rPr>
      </w:pPr>
    </w:p>
    <w:p w:rsidR="00DF4F71" w:rsidRPr="00304091" w:rsidRDefault="00DF4F71" w:rsidP="00F72129">
      <w:pPr>
        <w:jc w:val="both"/>
        <w:rPr>
          <w:rFonts w:ascii="Times New Roman" w:hAnsi="Times New Roman" w:cs="Times New Roman"/>
          <w:color w:val="000000" w:themeColor="text1"/>
          <w:sz w:val="24"/>
          <w:szCs w:val="24"/>
        </w:rPr>
      </w:pPr>
    </w:p>
    <w:p w:rsidR="00AD03A3" w:rsidRDefault="00AD03A3" w:rsidP="00F72129">
      <w:pPr>
        <w:jc w:val="both"/>
        <w:rPr>
          <w:rFonts w:ascii="Times New Roman" w:hAnsi="Times New Roman" w:cs="Times New Roman"/>
          <w:color w:val="000000" w:themeColor="text1"/>
          <w:sz w:val="24"/>
          <w:szCs w:val="24"/>
        </w:rPr>
      </w:pPr>
    </w:p>
    <w:p w:rsidR="00304C7A" w:rsidRDefault="00304C7A" w:rsidP="00F72129">
      <w:pPr>
        <w:jc w:val="both"/>
        <w:rPr>
          <w:rFonts w:ascii="Times New Roman" w:hAnsi="Times New Roman" w:cs="Times New Roman"/>
          <w:color w:val="000000" w:themeColor="text1"/>
          <w:sz w:val="24"/>
          <w:szCs w:val="24"/>
        </w:rPr>
      </w:pPr>
    </w:p>
    <w:p w:rsidR="00304C7A" w:rsidRDefault="00304C7A" w:rsidP="00F72129">
      <w:pPr>
        <w:jc w:val="both"/>
        <w:rPr>
          <w:rFonts w:ascii="Times New Roman" w:hAnsi="Times New Roman" w:cs="Times New Roman"/>
          <w:color w:val="000000" w:themeColor="text1"/>
          <w:sz w:val="24"/>
          <w:szCs w:val="24"/>
        </w:rPr>
      </w:pPr>
    </w:p>
    <w:p w:rsidR="00304C7A" w:rsidRPr="00304091" w:rsidRDefault="00304C7A" w:rsidP="00F72129">
      <w:pPr>
        <w:jc w:val="both"/>
        <w:rPr>
          <w:rFonts w:ascii="Times New Roman" w:hAnsi="Times New Roman" w:cs="Times New Roman"/>
          <w:color w:val="000000" w:themeColor="text1"/>
          <w:sz w:val="24"/>
          <w:szCs w:val="24"/>
        </w:rPr>
      </w:pPr>
    </w:p>
    <w:p w:rsidR="00AD03A3" w:rsidRDefault="00AD03A3" w:rsidP="00F72129">
      <w:pPr>
        <w:jc w:val="both"/>
        <w:rPr>
          <w:rFonts w:ascii="Times New Roman" w:hAnsi="Times New Roman" w:cs="Times New Roman"/>
          <w:color w:val="000000" w:themeColor="text1"/>
          <w:sz w:val="24"/>
          <w:szCs w:val="24"/>
        </w:rPr>
      </w:pPr>
    </w:p>
    <w:p w:rsidR="00AB7055" w:rsidRDefault="00AB7055" w:rsidP="00F72129">
      <w:pPr>
        <w:jc w:val="both"/>
        <w:rPr>
          <w:rFonts w:ascii="Times New Roman" w:hAnsi="Times New Roman" w:cs="Times New Roman"/>
          <w:color w:val="000000" w:themeColor="text1"/>
          <w:sz w:val="24"/>
          <w:szCs w:val="24"/>
        </w:rPr>
      </w:pPr>
    </w:p>
    <w:p w:rsidR="00AB7055" w:rsidRDefault="00AB7055" w:rsidP="00F72129">
      <w:pPr>
        <w:jc w:val="both"/>
        <w:rPr>
          <w:rFonts w:ascii="Times New Roman" w:hAnsi="Times New Roman" w:cs="Times New Roman"/>
          <w:color w:val="000000" w:themeColor="text1"/>
          <w:sz w:val="24"/>
          <w:szCs w:val="24"/>
        </w:rPr>
      </w:pPr>
    </w:p>
    <w:p w:rsidR="00AB7055" w:rsidRDefault="00AB7055" w:rsidP="00F72129">
      <w:pPr>
        <w:jc w:val="both"/>
        <w:rPr>
          <w:rFonts w:ascii="Times New Roman" w:hAnsi="Times New Roman" w:cs="Times New Roman"/>
          <w:color w:val="000000" w:themeColor="text1"/>
          <w:sz w:val="24"/>
          <w:szCs w:val="24"/>
        </w:rPr>
      </w:pPr>
    </w:p>
    <w:p w:rsidR="00AB7055" w:rsidRDefault="00AB7055" w:rsidP="00F72129">
      <w:pPr>
        <w:jc w:val="both"/>
        <w:rPr>
          <w:rFonts w:ascii="Times New Roman" w:hAnsi="Times New Roman" w:cs="Times New Roman"/>
          <w:color w:val="000000" w:themeColor="text1"/>
          <w:sz w:val="24"/>
          <w:szCs w:val="24"/>
        </w:rPr>
      </w:pPr>
    </w:p>
    <w:p w:rsidR="00AB7055" w:rsidRDefault="00AB7055" w:rsidP="00F72129">
      <w:pPr>
        <w:jc w:val="both"/>
        <w:rPr>
          <w:rFonts w:ascii="Times New Roman" w:hAnsi="Times New Roman" w:cs="Times New Roman"/>
          <w:color w:val="000000" w:themeColor="text1"/>
          <w:sz w:val="24"/>
          <w:szCs w:val="24"/>
        </w:rPr>
      </w:pPr>
    </w:p>
    <w:p w:rsidR="00AB7055" w:rsidRDefault="00AB7055" w:rsidP="00F72129">
      <w:pPr>
        <w:jc w:val="both"/>
        <w:rPr>
          <w:rFonts w:ascii="Times New Roman" w:hAnsi="Times New Roman" w:cs="Times New Roman"/>
          <w:color w:val="000000" w:themeColor="text1"/>
          <w:sz w:val="24"/>
          <w:szCs w:val="24"/>
        </w:rPr>
      </w:pPr>
    </w:p>
    <w:p w:rsidR="00AB7055" w:rsidRDefault="00AB7055" w:rsidP="00F72129">
      <w:pPr>
        <w:jc w:val="both"/>
        <w:rPr>
          <w:rFonts w:ascii="Times New Roman" w:hAnsi="Times New Roman" w:cs="Times New Roman"/>
          <w:color w:val="000000" w:themeColor="text1"/>
          <w:sz w:val="24"/>
          <w:szCs w:val="24"/>
        </w:rPr>
      </w:pPr>
    </w:p>
    <w:p w:rsidR="00AB7055" w:rsidRDefault="00AB7055" w:rsidP="00F72129">
      <w:pPr>
        <w:jc w:val="both"/>
        <w:rPr>
          <w:rFonts w:ascii="Times New Roman" w:hAnsi="Times New Roman" w:cs="Times New Roman"/>
          <w:color w:val="000000" w:themeColor="text1"/>
          <w:sz w:val="24"/>
          <w:szCs w:val="24"/>
        </w:rPr>
      </w:pPr>
    </w:p>
    <w:p w:rsidR="00AB7055" w:rsidRDefault="00AB7055" w:rsidP="00F72129">
      <w:pPr>
        <w:jc w:val="both"/>
        <w:rPr>
          <w:rFonts w:ascii="Times New Roman" w:hAnsi="Times New Roman" w:cs="Times New Roman"/>
          <w:color w:val="000000" w:themeColor="text1"/>
          <w:sz w:val="24"/>
          <w:szCs w:val="24"/>
        </w:rPr>
      </w:pPr>
    </w:p>
    <w:p w:rsidR="00AB7055" w:rsidRDefault="00AB7055" w:rsidP="00F72129">
      <w:pPr>
        <w:jc w:val="both"/>
        <w:rPr>
          <w:rFonts w:ascii="Times New Roman" w:hAnsi="Times New Roman" w:cs="Times New Roman"/>
          <w:color w:val="000000" w:themeColor="text1"/>
          <w:sz w:val="24"/>
          <w:szCs w:val="24"/>
        </w:rPr>
      </w:pPr>
    </w:p>
    <w:p w:rsidR="00AB7055" w:rsidRDefault="00AB7055" w:rsidP="00F72129">
      <w:pPr>
        <w:jc w:val="both"/>
        <w:rPr>
          <w:rFonts w:ascii="Times New Roman" w:hAnsi="Times New Roman" w:cs="Times New Roman"/>
          <w:color w:val="000000" w:themeColor="text1"/>
          <w:sz w:val="24"/>
          <w:szCs w:val="24"/>
        </w:rPr>
      </w:pPr>
    </w:p>
    <w:p w:rsidR="009B5902" w:rsidRPr="004C5711" w:rsidRDefault="00CD6199" w:rsidP="004C5711">
      <w:pPr>
        <w:pStyle w:val="Titre1"/>
        <w:rPr>
          <w:rFonts w:ascii="Times New Roman" w:hAnsi="Times New Roman" w:cs="Times New Roman"/>
          <w:b/>
          <w:color w:val="000000" w:themeColor="text1"/>
          <w:sz w:val="24"/>
          <w:szCs w:val="24"/>
        </w:rPr>
      </w:pPr>
      <w:bookmarkStart w:id="26" w:name="_Toc505329029"/>
      <w:r w:rsidRPr="004C5711">
        <w:rPr>
          <w:rFonts w:ascii="Times New Roman" w:hAnsi="Times New Roman" w:cs="Times New Roman"/>
          <w:b/>
          <w:color w:val="000000" w:themeColor="text1"/>
          <w:sz w:val="24"/>
          <w:szCs w:val="24"/>
        </w:rPr>
        <w:lastRenderedPageBreak/>
        <w:t>Bibliographie</w:t>
      </w:r>
      <w:bookmarkEnd w:id="26"/>
    </w:p>
    <w:p w:rsidR="00CD6199" w:rsidRDefault="00CD6199" w:rsidP="00F72129">
      <w:pPr>
        <w:jc w:val="both"/>
        <w:rPr>
          <w:rFonts w:ascii="Times New Roman" w:hAnsi="Times New Roman" w:cs="Times New Roman"/>
          <w:sz w:val="24"/>
          <w:szCs w:val="24"/>
        </w:rPr>
      </w:pPr>
      <w:r w:rsidRPr="00762E6E">
        <w:rPr>
          <w:rFonts w:ascii="Times New Roman" w:hAnsi="Times New Roman" w:cs="Times New Roman"/>
          <w:sz w:val="24"/>
          <w:szCs w:val="24"/>
        </w:rPr>
        <w:t xml:space="preserve">Bernard Fouquet, 2010. Etude sur le financement de l’agriculture et du monde rural, rapport principal, </w:t>
      </w:r>
      <w:r w:rsidR="00A96F83" w:rsidRPr="00762E6E">
        <w:rPr>
          <w:rFonts w:ascii="Times New Roman" w:hAnsi="Times New Roman" w:cs="Times New Roman"/>
          <w:sz w:val="24"/>
          <w:szCs w:val="24"/>
        </w:rPr>
        <w:t>FAO. Rome, 210. P76</w:t>
      </w:r>
    </w:p>
    <w:p w:rsidR="0039581E" w:rsidRDefault="0039581E" w:rsidP="0039581E">
      <w:pPr>
        <w:jc w:val="both"/>
        <w:rPr>
          <w:rFonts w:ascii="Times New Roman" w:hAnsi="Times New Roman" w:cs="Times New Roman"/>
          <w:sz w:val="24"/>
          <w:szCs w:val="24"/>
        </w:rPr>
      </w:pPr>
      <w:r w:rsidRPr="00762E6E">
        <w:rPr>
          <w:rFonts w:ascii="Times New Roman" w:hAnsi="Times New Roman" w:cs="Times New Roman"/>
          <w:sz w:val="24"/>
          <w:szCs w:val="24"/>
        </w:rPr>
        <w:t xml:space="preserve">CLRFA, 2006 : </w:t>
      </w:r>
      <w:r>
        <w:rPr>
          <w:rFonts w:ascii="Times New Roman" w:hAnsi="Times New Roman" w:cs="Times New Roman"/>
          <w:sz w:val="24"/>
          <w:szCs w:val="24"/>
        </w:rPr>
        <w:t xml:space="preserve">Le </w:t>
      </w:r>
      <w:r w:rsidRPr="00762E6E">
        <w:rPr>
          <w:rFonts w:ascii="Times New Roman" w:hAnsi="Times New Roman" w:cs="Times New Roman"/>
          <w:sz w:val="24"/>
          <w:szCs w:val="24"/>
        </w:rPr>
        <w:t xml:space="preserve">Cadre Législatif et Règlementaire du Foncier Agricole,  Rapport final. </w:t>
      </w:r>
      <w:proofErr w:type="gramStart"/>
      <w:r w:rsidRPr="00762E6E">
        <w:rPr>
          <w:rFonts w:ascii="Times New Roman" w:hAnsi="Times New Roman" w:cs="Times New Roman"/>
          <w:sz w:val="24"/>
          <w:szCs w:val="24"/>
        </w:rPr>
        <w:t>pp</w:t>
      </w:r>
      <w:proofErr w:type="gramEnd"/>
      <w:r w:rsidRPr="00762E6E">
        <w:rPr>
          <w:rFonts w:ascii="Times New Roman" w:hAnsi="Times New Roman" w:cs="Times New Roman"/>
          <w:sz w:val="24"/>
          <w:szCs w:val="24"/>
        </w:rPr>
        <w:t xml:space="preserve"> 20-25</w:t>
      </w:r>
    </w:p>
    <w:p w:rsidR="00DD6144" w:rsidRDefault="00DD6144" w:rsidP="00DD6144">
      <w:pPr>
        <w:autoSpaceDE w:val="0"/>
        <w:autoSpaceDN w:val="0"/>
        <w:adjustRightInd w:val="0"/>
        <w:spacing w:after="0" w:line="240" w:lineRule="auto"/>
        <w:rPr>
          <w:rFonts w:ascii="Times New Roman" w:hAnsi="Times New Roman" w:cs="Times New Roman"/>
          <w:i/>
          <w:iCs/>
          <w:sz w:val="24"/>
          <w:szCs w:val="24"/>
        </w:rPr>
      </w:pPr>
      <w:r w:rsidRPr="00DD6144">
        <w:rPr>
          <w:rFonts w:ascii="Times New Roman" w:hAnsi="Times New Roman" w:cs="Times New Roman"/>
          <w:sz w:val="24"/>
          <w:szCs w:val="24"/>
        </w:rPr>
        <w:t>Code domanial et foncier du Mali, Mars 2000.</w:t>
      </w:r>
      <w:r w:rsidRPr="00DD6144">
        <w:rPr>
          <w:rFonts w:ascii="Times New Roman" w:hAnsi="Times New Roman" w:cs="Times New Roman"/>
          <w:i/>
          <w:iCs/>
          <w:sz w:val="24"/>
          <w:szCs w:val="24"/>
        </w:rPr>
        <w:t xml:space="preserve"> </w:t>
      </w:r>
      <w:r>
        <w:rPr>
          <w:rFonts w:ascii="Times New Roman" w:hAnsi="Times New Roman" w:cs="Times New Roman"/>
          <w:i/>
          <w:iCs/>
          <w:sz w:val="24"/>
          <w:szCs w:val="24"/>
        </w:rPr>
        <w:t>Ordonnance n°00-027 du 22 mars 2000 portant Code domanial et foncier Modifié par la loi n°02-008 du 12 février 2002.</w:t>
      </w:r>
      <w:r w:rsidR="0097622E">
        <w:rPr>
          <w:rFonts w:ascii="Times New Roman" w:hAnsi="Times New Roman" w:cs="Times New Roman"/>
          <w:i/>
          <w:iCs/>
          <w:sz w:val="24"/>
          <w:szCs w:val="24"/>
        </w:rPr>
        <w:t xml:space="preserve"> </w:t>
      </w:r>
      <w:r w:rsidR="0097622E" w:rsidRPr="0097622E">
        <w:rPr>
          <w:rFonts w:ascii="Times New Roman" w:hAnsi="Times New Roman" w:cs="Times New Roman"/>
          <w:iCs/>
          <w:sz w:val="24"/>
          <w:szCs w:val="24"/>
        </w:rPr>
        <w:t>P50</w:t>
      </w:r>
    </w:p>
    <w:p w:rsidR="00DD6144" w:rsidRPr="00DD6144" w:rsidRDefault="00DD6144" w:rsidP="00DD6144">
      <w:pPr>
        <w:autoSpaceDE w:val="0"/>
        <w:autoSpaceDN w:val="0"/>
        <w:adjustRightInd w:val="0"/>
        <w:spacing w:after="0" w:line="240" w:lineRule="auto"/>
        <w:rPr>
          <w:rFonts w:ascii="Times New Roman" w:hAnsi="Times New Roman" w:cs="Times New Roman"/>
          <w:i/>
          <w:iCs/>
          <w:sz w:val="24"/>
          <w:szCs w:val="24"/>
        </w:rPr>
      </w:pPr>
    </w:p>
    <w:p w:rsidR="009115AE" w:rsidRPr="00762E6E" w:rsidRDefault="009115AE" w:rsidP="009115AE">
      <w:pPr>
        <w:jc w:val="both"/>
        <w:rPr>
          <w:rFonts w:ascii="Times New Roman" w:hAnsi="Times New Roman" w:cs="Times New Roman"/>
          <w:sz w:val="24"/>
          <w:szCs w:val="24"/>
          <w:highlight w:val="yellow"/>
        </w:rPr>
      </w:pPr>
      <w:r>
        <w:rPr>
          <w:rFonts w:ascii="Times New Roman" w:hAnsi="Times New Roman" w:cs="Times New Roman"/>
          <w:sz w:val="24"/>
          <w:szCs w:val="24"/>
        </w:rPr>
        <w:t>Code des personnes et de la famille du Mali. Loi No11-080/AN-RM, portant code des personnes et de la famille. L’assemblée nationale du Mali, Décembre 2011.</w:t>
      </w:r>
    </w:p>
    <w:p w:rsidR="0039581E" w:rsidRDefault="0039581E" w:rsidP="0039581E">
      <w:pPr>
        <w:jc w:val="both"/>
        <w:rPr>
          <w:rStyle w:val="Lienhypertexte"/>
          <w:rFonts w:ascii="Times New Roman" w:hAnsi="Times New Roman" w:cs="Times New Roman"/>
          <w:sz w:val="24"/>
          <w:szCs w:val="24"/>
        </w:rPr>
      </w:pPr>
      <w:r w:rsidRPr="00762E6E">
        <w:rPr>
          <w:rFonts w:ascii="Times New Roman" w:hAnsi="Times New Roman" w:cs="Times New Roman"/>
          <w:color w:val="000000"/>
          <w:sz w:val="24"/>
          <w:szCs w:val="24"/>
        </w:rPr>
        <w:t>FAO, 1981. Charte des paysans, Site web:</w:t>
      </w:r>
      <w:r w:rsidRPr="00762E6E">
        <w:rPr>
          <w:rFonts w:ascii="Times New Roman" w:hAnsi="Times New Roman" w:cs="Times New Roman"/>
          <w:color w:val="525252"/>
          <w:sz w:val="24"/>
          <w:szCs w:val="24"/>
        </w:rPr>
        <w:t xml:space="preserve"> </w:t>
      </w:r>
      <w:hyperlink r:id="rId10" w:history="1">
        <w:r w:rsidRPr="00762E6E">
          <w:rPr>
            <w:rStyle w:val="Lienhypertexte"/>
            <w:rFonts w:ascii="Times New Roman" w:hAnsi="Times New Roman" w:cs="Times New Roman"/>
            <w:sz w:val="24"/>
            <w:szCs w:val="24"/>
          </w:rPr>
          <w:t>www.fao.org/docrep/u8719f/u8719f04.htm</w:t>
        </w:r>
      </w:hyperlink>
    </w:p>
    <w:p w:rsidR="0039581E" w:rsidRPr="00762E6E" w:rsidRDefault="0039581E" w:rsidP="0039581E">
      <w:pPr>
        <w:jc w:val="both"/>
        <w:rPr>
          <w:rFonts w:ascii="Times New Roman" w:hAnsi="Times New Roman" w:cs="Times New Roman"/>
          <w:sz w:val="24"/>
          <w:szCs w:val="24"/>
        </w:rPr>
      </w:pPr>
      <w:r w:rsidRPr="00762E6E">
        <w:rPr>
          <w:rFonts w:ascii="Times New Roman" w:hAnsi="Times New Roman" w:cs="Times New Roman"/>
          <w:sz w:val="24"/>
          <w:szCs w:val="24"/>
        </w:rPr>
        <w:t>FAO, 2010. Le fossé hommes-femmes dans le secteur agricole: faits et chiffres. P43.</w:t>
      </w:r>
    </w:p>
    <w:p w:rsidR="0039581E" w:rsidRDefault="00C4216E" w:rsidP="0039581E">
      <w:pPr>
        <w:jc w:val="both"/>
        <w:rPr>
          <w:rFonts w:ascii="Times New Roman" w:hAnsi="Times New Roman" w:cs="Times New Roman"/>
          <w:sz w:val="24"/>
          <w:szCs w:val="24"/>
        </w:rPr>
      </w:pPr>
      <w:r>
        <w:rPr>
          <w:rFonts w:ascii="Times New Roman" w:hAnsi="Times New Roman" w:cs="Times New Roman"/>
          <w:sz w:val="24"/>
          <w:szCs w:val="24"/>
        </w:rPr>
        <w:t>Inconnu, 2013</w:t>
      </w:r>
      <w:r w:rsidR="0039581E" w:rsidRPr="00762E6E">
        <w:rPr>
          <w:rFonts w:ascii="Times New Roman" w:hAnsi="Times New Roman" w:cs="Times New Roman"/>
          <w:sz w:val="24"/>
          <w:szCs w:val="24"/>
        </w:rPr>
        <w:t>: Politique de Développement Agricole du Mali (PDA), Document provisoire, mai</w:t>
      </w:r>
      <w:r w:rsidR="0039581E">
        <w:rPr>
          <w:rFonts w:ascii="Times New Roman" w:hAnsi="Times New Roman" w:cs="Times New Roman"/>
          <w:sz w:val="24"/>
          <w:szCs w:val="24"/>
        </w:rPr>
        <w:t>,</w:t>
      </w:r>
      <w:r w:rsidR="0039581E" w:rsidRPr="00762E6E">
        <w:rPr>
          <w:rFonts w:ascii="Times New Roman" w:hAnsi="Times New Roman" w:cs="Times New Roman"/>
          <w:sz w:val="24"/>
          <w:szCs w:val="24"/>
        </w:rPr>
        <w:t xml:space="preserve"> 2013. P39.</w:t>
      </w:r>
    </w:p>
    <w:p w:rsidR="00CD6199" w:rsidRPr="00762E6E" w:rsidRDefault="009746E0" w:rsidP="00F72129">
      <w:pPr>
        <w:jc w:val="both"/>
        <w:rPr>
          <w:rFonts w:ascii="Times New Roman" w:hAnsi="Times New Roman" w:cs="Times New Roman"/>
          <w:sz w:val="24"/>
          <w:szCs w:val="24"/>
        </w:rPr>
      </w:pPr>
      <w:r w:rsidRPr="00762E6E">
        <w:rPr>
          <w:rFonts w:ascii="Times New Roman" w:hAnsi="Times New Roman" w:cs="Times New Roman"/>
          <w:sz w:val="24"/>
          <w:szCs w:val="24"/>
        </w:rPr>
        <w:t xml:space="preserve">Maître </w:t>
      </w:r>
      <w:proofErr w:type="spellStart"/>
      <w:r w:rsidRPr="00762E6E">
        <w:rPr>
          <w:rFonts w:ascii="Times New Roman" w:hAnsi="Times New Roman" w:cs="Times New Roman"/>
          <w:sz w:val="24"/>
          <w:szCs w:val="24"/>
        </w:rPr>
        <w:t>Mountaga</w:t>
      </w:r>
      <w:proofErr w:type="spellEnd"/>
      <w:r w:rsidRPr="00762E6E">
        <w:rPr>
          <w:rFonts w:ascii="Times New Roman" w:hAnsi="Times New Roman" w:cs="Times New Roman"/>
          <w:sz w:val="24"/>
          <w:szCs w:val="24"/>
        </w:rPr>
        <w:t xml:space="preserve"> TALL et  Mohamed Baye </w:t>
      </w:r>
      <w:r w:rsidR="00B61A96">
        <w:rPr>
          <w:rFonts w:ascii="Times New Roman" w:hAnsi="Times New Roman" w:cs="Times New Roman"/>
          <w:sz w:val="24"/>
          <w:szCs w:val="24"/>
        </w:rPr>
        <w:t>D</w:t>
      </w:r>
      <w:r w:rsidR="00B61A96" w:rsidRPr="00762E6E">
        <w:rPr>
          <w:rFonts w:ascii="Times New Roman" w:hAnsi="Times New Roman" w:cs="Times New Roman"/>
          <w:sz w:val="24"/>
          <w:szCs w:val="24"/>
        </w:rPr>
        <w:t>iallo</w:t>
      </w:r>
      <w:r w:rsidRPr="00762E6E">
        <w:rPr>
          <w:rFonts w:ascii="Times New Roman" w:hAnsi="Times New Roman" w:cs="Times New Roman"/>
          <w:sz w:val="24"/>
          <w:szCs w:val="24"/>
        </w:rPr>
        <w:t>. LOA : Loi d'Orientation Agric</w:t>
      </w:r>
      <w:r w:rsidR="00524DC8">
        <w:rPr>
          <w:rFonts w:ascii="Times New Roman" w:hAnsi="Times New Roman" w:cs="Times New Roman"/>
          <w:sz w:val="24"/>
          <w:szCs w:val="24"/>
        </w:rPr>
        <w:t xml:space="preserve">ole du Mali - </w:t>
      </w:r>
      <w:r w:rsidR="00B75A94">
        <w:rPr>
          <w:rFonts w:ascii="Times New Roman" w:hAnsi="Times New Roman" w:cs="Times New Roman"/>
          <w:sz w:val="24"/>
          <w:szCs w:val="24"/>
        </w:rPr>
        <w:t>version votée</w:t>
      </w:r>
      <w:r w:rsidR="00524DC8">
        <w:rPr>
          <w:rFonts w:ascii="Times New Roman" w:hAnsi="Times New Roman" w:cs="Times New Roman"/>
          <w:sz w:val="24"/>
          <w:szCs w:val="24"/>
        </w:rPr>
        <w:t xml:space="preserve">. </w:t>
      </w:r>
      <w:r w:rsidRPr="00762E6E">
        <w:rPr>
          <w:rFonts w:ascii="Times New Roman" w:hAnsi="Times New Roman" w:cs="Times New Roman"/>
          <w:sz w:val="24"/>
          <w:szCs w:val="24"/>
        </w:rPr>
        <w:t>Fait et délibéré en séance publique à Bamako, le 16 août  2006.</w:t>
      </w:r>
    </w:p>
    <w:p w:rsidR="00F27F18" w:rsidRPr="00762E6E" w:rsidRDefault="00803DF8" w:rsidP="00F72129">
      <w:pPr>
        <w:jc w:val="both"/>
        <w:rPr>
          <w:rFonts w:ascii="Times New Roman" w:hAnsi="Times New Roman" w:cs="Times New Roman"/>
          <w:sz w:val="24"/>
          <w:szCs w:val="24"/>
        </w:rPr>
      </w:pPr>
      <w:r w:rsidRPr="00762E6E">
        <w:rPr>
          <w:rFonts w:ascii="Times New Roman" w:hAnsi="Times New Roman" w:cs="Times New Roman"/>
          <w:sz w:val="24"/>
          <w:szCs w:val="24"/>
        </w:rPr>
        <w:t>PFA</w:t>
      </w:r>
      <w:r>
        <w:rPr>
          <w:rFonts w:ascii="Times New Roman" w:hAnsi="Times New Roman" w:cs="Times New Roman"/>
          <w:sz w:val="24"/>
          <w:szCs w:val="24"/>
        </w:rPr>
        <w:t>,</w:t>
      </w:r>
      <w:r w:rsidRPr="00762E6E">
        <w:rPr>
          <w:rFonts w:ascii="Times New Roman" w:hAnsi="Times New Roman" w:cs="Times New Roman"/>
          <w:sz w:val="24"/>
          <w:szCs w:val="24"/>
        </w:rPr>
        <w:t xml:space="preserve"> 2014</w:t>
      </w:r>
      <w:r>
        <w:rPr>
          <w:rFonts w:ascii="Times New Roman" w:hAnsi="Times New Roman" w:cs="Times New Roman"/>
          <w:sz w:val="24"/>
          <w:szCs w:val="24"/>
        </w:rPr>
        <w:t xml:space="preserve">. </w:t>
      </w:r>
      <w:r w:rsidR="0081353B" w:rsidRPr="00762E6E">
        <w:rPr>
          <w:rFonts w:ascii="Times New Roman" w:hAnsi="Times New Roman" w:cs="Times New Roman"/>
          <w:sz w:val="24"/>
          <w:szCs w:val="24"/>
        </w:rPr>
        <w:t>Polit</w:t>
      </w:r>
      <w:r>
        <w:rPr>
          <w:rFonts w:ascii="Times New Roman" w:hAnsi="Times New Roman" w:cs="Times New Roman"/>
          <w:sz w:val="24"/>
          <w:szCs w:val="24"/>
        </w:rPr>
        <w:t>ique Foncière Agricole du Mali</w:t>
      </w:r>
      <w:r w:rsidR="0081353B" w:rsidRPr="00762E6E">
        <w:rPr>
          <w:rFonts w:ascii="Times New Roman" w:hAnsi="Times New Roman" w:cs="Times New Roman"/>
          <w:sz w:val="24"/>
          <w:szCs w:val="24"/>
        </w:rPr>
        <w:t>, avril.</w:t>
      </w:r>
      <w:r w:rsidR="00200092" w:rsidRPr="00762E6E">
        <w:rPr>
          <w:rFonts w:ascii="Times New Roman" w:hAnsi="Times New Roman" w:cs="Times New Roman"/>
          <w:sz w:val="24"/>
          <w:szCs w:val="24"/>
        </w:rPr>
        <w:t xml:space="preserve"> 44p</w:t>
      </w:r>
    </w:p>
    <w:sectPr w:rsidR="00F27F18" w:rsidRPr="00762E6E">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C5B" w:rsidRDefault="00306C5B" w:rsidP="001B2A60">
      <w:pPr>
        <w:spacing w:after="0" w:line="240" w:lineRule="auto"/>
      </w:pPr>
      <w:r>
        <w:separator/>
      </w:r>
    </w:p>
  </w:endnote>
  <w:endnote w:type="continuationSeparator" w:id="0">
    <w:p w:rsidR="00306C5B" w:rsidRDefault="00306C5B" w:rsidP="001B2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News Gothic">
    <w:altName w:val="Microsoft YaHei"/>
    <w:charset w:val="00"/>
    <w:family w:val="swiss"/>
    <w:pitch w:val="variable"/>
    <w:sig w:usb0="00000001"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C5B" w:rsidRDefault="00306C5B" w:rsidP="001B2A60">
      <w:pPr>
        <w:spacing w:after="0" w:line="240" w:lineRule="auto"/>
      </w:pPr>
      <w:r>
        <w:separator/>
      </w:r>
    </w:p>
  </w:footnote>
  <w:footnote w:type="continuationSeparator" w:id="0">
    <w:p w:rsidR="00306C5B" w:rsidRDefault="00306C5B" w:rsidP="001B2A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1394930"/>
      <w:docPartObj>
        <w:docPartGallery w:val="Page Numbers (Top of Page)"/>
        <w:docPartUnique/>
      </w:docPartObj>
    </w:sdtPr>
    <w:sdtEndPr/>
    <w:sdtContent>
      <w:p w:rsidR="001B2A60" w:rsidRDefault="001B2A60">
        <w:pPr>
          <w:pStyle w:val="En-tte"/>
          <w:jc w:val="center"/>
        </w:pPr>
        <w:r>
          <w:fldChar w:fldCharType="begin"/>
        </w:r>
        <w:r>
          <w:instrText>PAGE   \* MERGEFORMAT</w:instrText>
        </w:r>
        <w:r>
          <w:fldChar w:fldCharType="separate"/>
        </w:r>
        <w:r w:rsidR="00494DD4">
          <w:rPr>
            <w:noProof/>
          </w:rPr>
          <w:t>10</w:t>
        </w:r>
        <w:r>
          <w:fldChar w:fldCharType="end"/>
        </w:r>
      </w:p>
    </w:sdtContent>
  </w:sdt>
  <w:p w:rsidR="001B2A60" w:rsidRDefault="001B2A6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C7733"/>
    <w:multiLevelType w:val="hybridMultilevel"/>
    <w:tmpl w:val="499414A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7CA09E8"/>
    <w:multiLevelType w:val="multilevel"/>
    <w:tmpl w:val="5544750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9D2009"/>
    <w:multiLevelType w:val="hybridMultilevel"/>
    <w:tmpl w:val="551C7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F5A05D2"/>
    <w:multiLevelType w:val="hybridMultilevel"/>
    <w:tmpl w:val="DAB84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AFC5D03"/>
    <w:multiLevelType w:val="multilevel"/>
    <w:tmpl w:val="294A6820"/>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E2E3A69"/>
    <w:multiLevelType w:val="hybridMultilevel"/>
    <w:tmpl w:val="9FA614E4"/>
    <w:lvl w:ilvl="0" w:tplc="26E6B57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AC405FB"/>
    <w:multiLevelType w:val="hybridMultilevel"/>
    <w:tmpl w:val="30266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EF675D6"/>
    <w:multiLevelType w:val="hybridMultilevel"/>
    <w:tmpl w:val="B2DC1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5"/>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193"/>
    <w:rsid w:val="000016BC"/>
    <w:rsid w:val="00012F38"/>
    <w:rsid w:val="00024D5D"/>
    <w:rsid w:val="00025E0D"/>
    <w:rsid w:val="0003422E"/>
    <w:rsid w:val="00036F28"/>
    <w:rsid w:val="0004546C"/>
    <w:rsid w:val="00046C31"/>
    <w:rsid w:val="000534EB"/>
    <w:rsid w:val="000654B8"/>
    <w:rsid w:val="000654FD"/>
    <w:rsid w:val="00084FDA"/>
    <w:rsid w:val="0009480C"/>
    <w:rsid w:val="00094B1D"/>
    <w:rsid w:val="000A45E8"/>
    <w:rsid w:val="000B1A74"/>
    <w:rsid w:val="000C68B5"/>
    <w:rsid w:val="000F2CAA"/>
    <w:rsid w:val="00100B76"/>
    <w:rsid w:val="00101532"/>
    <w:rsid w:val="00114A97"/>
    <w:rsid w:val="0012169F"/>
    <w:rsid w:val="0012795D"/>
    <w:rsid w:val="00130ED8"/>
    <w:rsid w:val="00134ED7"/>
    <w:rsid w:val="00166489"/>
    <w:rsid w:val="0017775B"/>
    <w:rsid w:val="00184B19"/>
    <w:rsid w:val="001A5A66"/>
    <w:rsid w:val="001A640D"/>
    <w:rsid w:val="001A7A30"/>
    <w:rsid w:val="001B135C"/>
    <w:rsid w:val="001B2A60"/>
    <w:rsid w:val="001B4076"/>
    <w:rsid w:val="001D4AF9"/>
    <w:rsid w:val="001E1637"/>
    <w:rsid w:val="001F097F"/>
    <w:rsid w:val="00200092"/>
    <w:rsid w:val="00202021"/>
    <w:rsid w:val="00203B05"/>
    <w:rsid w:val="00214A0E"/>
    <w:rsid w:val="00223FA1"/>
    <w:rsid w:val="00224C3A"/>
    <w:rsid w:val="002335A7"/>
    <w:rsid w:val="002552D8"/>
    <w:rsid w:val="00267476"/>
    <w:rsid w:val="00274D71"/>
    <w:rsid w:val="00275EF2"/>
    <w:rsid w:val="00280A19"/>
    <w:rsid w:val="00291D4C"/>
    <w:rsid w:val="002A591B"/>
    <w:rsid w:val="002A730B"/>
    <w:rsid w:val="002C56BE"/>
    <w:rsid w:val="00304027"/>
    <w:rsid w:val="00304091"/>
    <w:rsid w:val="00304C7A"/>
    <w:rsid w:val="00306C5B"/>
    <w:rsid w:val="00311809"/>
    <w:rsid w:val="003144FF"/>
    <w:rsid w:val="0031452B"/>
    <w:rsid w:val="00320CCA"/>
    <w:rsid w:val="003225BA"/>
    <w:rsid w:val="00323B6F"/>
    <w:rsid w:val="00343819"/>
    <w:rsid w:val="00343D83"/>
    <w:rsid w:val="003513EB"/>
    <w:rsid w:val="00361DBA"/>
    <w:rsid w:val="00366470"/>
    <w:rsid w:val="003673CE"/>
    <w:rsid w:val="003858C5"/>
    <w:rsid w:val="0039581E"/>
    <w:rsid w:val="00397741"/>
    <w:rsid w:val="003A4BB3"/>
    <w:rsid w:val="003B7A13"/>
    <w:rsid w:val="003C0C60"/>
    <w:rsid w:val="003C306F"/>
    <w:rsid w:val="003C507B"/>
    <w:rsid w:val="003D0954"/>
    <w:rsid w:val="003E7419"/>
    <w:rsid w:val="003F5396"/>
    <w:rsid w:val="0040117B"/>
    <w:rsid w:val="0040550C"/>
    <w:rsid w:val="004250D0"/>
    <w:rsid w:val="0043182A"/>
    <w:rsid w:val="00435A1A"/>
    <w:rsid w:val="00452357"/>
    <w:rsid w:val="00456E83"/>
    <w:rsid w:val="00481576"/>
    <w:rsid w:val="00494DD4"/>
    <w:rsid w:val="004B0DB7"/>
    <w:rsid w:val="004B4653"/>
    <w:rsid w:val="004B5EA5"/>
    <w:rsid w:val="004B6AE5"/>
    <w:rsid w:val="004C5711"/>
    <w:rsid w:val="004D57C6"/>
    <w:rsid w:val="004F4AAF"/>
    <w:rsid w:val="00506850"/>
    <w:rsid w:val="00511D49"/>
    <w:rsid w:val="00512484"/>
    <w:rsid w:val="00524DC8"/>
    <w:rsid w:val="0052743E"/>
    <w:rsid w:val="00566CB2"/>
    <w:rsid w:val="0056787B"/>
    <w:rsid w:val="00574B5A"/>
    <w:rsid w:val="00597F56"/>
    <w:rsid w:val="005A17FF"/>
    <w:rsid w:val="005A24F9"/>
    <w:rsid w:val="005A39D5"/>
    <w:rsid w:val="005A636A"/>
    <w:rsid w:val="005A7748"/>
    <w:rsid w:val="005B0C9A"/>
    <w:rsid w:val="005B1F5E"/>
    <w:rsid w:val="005D08F0"/>
    <w:rsid w:val="005E51D2"/>
    <w:rsid w:val="005F5E3A"/>
    <w:rsid w:val="00601EFE"/>
    <w:rsid w:val="00614229"/>
    <w:rsid w:val="00620E32"/>
    <w:rsid w:val="0063568B"/>
    <w:rsid w:val="0064639B"/>
    <w:rsid w:val="00661D80"/>
    <w:rsid w:val="0066765C"/>
    <w:rsid w:val="006743AE"/>
    <w:rsid w:val="00682D65"/>
    <w:rsid w:val="00691165"/>
    <w:rsid w:val="006A2032"/>
    <w:rsid w:val="006B1CF8"/>
    <w:rsid w:val="006C5C6C"/>
    <w:rsid w:val="006C682B"/>
    <w:rsid w:val="006E76BC"/>
    <w:rsid w:val="006E78B9"/>
    <w:rsid w:val="006F0486"/>
    <w:rsid w:val="006F2A01"/>
    <w:rsid w:val="006F6CCF"/>
    <w:rsid w:val="00714C35"/>
    <w:rsid w:val="00730080"/>
    <w:rsid w:val="00740B0C"/>
    <w:rsid w:val="00741B21"/>
    <w:rsid w:val="00762E6E"/>
    <w:rsid w:val="00781730"/>
    <w:rsid w:val="00793536"/>
    <w:rsid w:val="007C50F4"/>
    <w:rsid w:val="007D166B"/>
    <w:rsid w:val="00803DF8"/>
    <w:rsid w:val="00811EBD"/>
    <w:rsid w:val="0081353B"/>
    <w:rsid w:val="008160C1"/>
    <w:rsid w:val="008213B1"/>
    <w:rsid w:val="008238B6"/>
    <w:rsid w:val="00826768"/>
    <w:rsid w:val="00832DA0"/>
    <w:rsid w:val="00833557"/>
    <w:rsid w:val="008429F6"/>
    <w:rsid w:val="00864E78"/>
    <w:rsid w:val="0087119E"/>
    <w:rsid w:val="008772B4"/>
    <w:rsid w:val="00877936"/>
    <w:rsid w:val="008863F1"/>
    <w:rsid w:val="00891C34"/>
    <w:rsid w:val="008A7E69"/>
    <w:rsid w:val="008B0EE2"/>
    <w:rsid w:val="008B50F1"/>
    <w:rsid w:val="008C6239"/>
    <w:rsid w:val="008D0972"/>
    <w:rsid w:val="008E08FF"/>
    <w:rsid w:val="00902677"/>
    <w:rsid w:val="00906415"/>
    <w:rsid w:val="00906B55"/>
    <w:rsid w:val="009115AE"/>
    <w:rsid w:val="00911A8F"/>
    <w:rsid w:val="00914696"/>
    <w:rsid w:val="0092423E"/>
    <w:rsid w:val="00934480"/>
    <w:rsid w:val="0094133A"/>
    <w:rsid w:val="00953EDD"/>
    <w:rsid w:val="009544B3"/>
    <w:rsid w:val="0095583F"/>
    <w:rsid w:val="00956B9D"/>
    <w:rsid w:val="00964F3C"/>
    <w:rsid w:val="00967998"/>
    <w:rsid w:val="00973F26"/>
    <w:rsid w:val="009746E0"/>
    <w:rsid w:val="00975426"/>
    <w:rsid w:val="0097622E"/>
    <w:rsid w:val="00982BF5"/>
    <w:rsid w:val="00990B15"/>
    <w:rsid w:val="00995985"/>
    <w:rsid w:val="009A1244"/>
    <w:rsid w:val="009A557F"/>
    <w:rsid w:val="009A6B2F"/>
    <w:rsid w:val="009A7D27"/>
    <w:rsid w:val="009B1216"/>
    <w:rsid w:val="009B4906"/>
    <w:rsid w:val="009B5902"/>
    <w:rsid w:val="009C6B7F"/>
    <w:rsid w:val="009D51C2"/>
    <w:rsid w:val="009D787D"/>
    <w:rsid w:val="009E3908"/>
    <w:rsid w:val="009E3FE9"/>
    <w:rsid w:val="00A05C67"/>
    <w:rsid w:val="00A10984"/>
    <w:rsid w:val="00A124B4"/>
    <w:rsid w:val="00A125A8"/>
    <w:rsid w:val="00A14360"/>
    <w:rsid w:val="00A15071"/>
    <w:rsid w:val="00A304A3"/>
    <w:rsid w:val="00A402C8"/>
    <w:rsid w:val="00A40D79"/>
    <w:rsid w:val="00A51DE1"/>
    <w:rsid w:val="00A53283"/>
    <w:rsid w:val="00A532A0"/>
    <w:rsid w:val="00A53B8C"/>
    <w:rsid w:val="00A6596C"/>
    <w:rsid w:val="00A73AD5"/>
    <w:rsid w:val="00A76E36"/>
    <w:rsid w:val="00A77EB9"/>
    <w:rsid w:val="00A807C0"/>
    <w:rsid w:val="00A81D15"/>
    <w:rsid w:val="00A96F83"/>
    <w:rsid w:val="00AA28C6"/>
    <w:rsid w:val="00AA4E95"/>
    <w:rsid w:val="00AB0D07"/>
    <w:rsid w:val="00AB573A"/>
    <w:rsid w:val="00AB7055"/>
    <w:rsid w:val="00AC7E4A"/>
    <w:rsid w:val="00AD03A3"/>
    <w:rsid w:val="00AE4E5F"/>
    <w:rsid w:val="00AE5E56"/>
    <w:rsid w:val="00AF658A"/>
    <w:rsid w:val="00B238E3"/>
    <w:rsid w:val="00B27C0B"/>
    <w:rsid w:val="00B313BF"/>
    <w:rsid w:val="00B473B8"/>
    <w:rsid w:val="00B61A96"/>
    <w:rsid w:val="00B61B68"/>
    <w:rsid w:val="00B67CF6"/>
    <w:rsid w:val="00B75A94"/>
    <w:rsid w:val="00B950E6"/>
    <w:rsid w:val="00BB7137"/>
    <w:rsid w:val="00BC7D4B"/>
    <w:rsid w:val="00BF32E1"/>
    <w:rsid w:val="00C16E1C"/>
    <w:rsid w:val="00C3492D"/>
    <w:rsid w:val="00C40E20"/>
    <w:rsid w:val="00C4216E"/>
    <w:rsid w:val="00C44860"/>
    <w:rsid w:val="00C506A8"/>
    <w:rsid w:val="00C633FB"/>
    <w:rsid w:val="00C664A2"/>
    <w:rsid w:val="00C82546"/>
    <w:rsid w:val="00C876D6"/>
    <w:rsid w:val="00C93ADE"/>
    <w:rsid w:val="00C9793C"/>
    <w:rsid w:val="00CA2DF3"/>
    <w:rsid w:val="00CB0F50"/>
    <w:rsid w:val="00CB337F"/>
    <w:rsid w:val="00CB4C20"/>
    <w:rsid w:val="00CB6242"/>
    <w:rsid w:val="00CC6CE3"/>
    <w:rsid w:val="00CD036E"/>
    <w:rsid w:val="00CD6199"/>
    <w:rsid w:val="00CD619B"/>
    <w:rsid w:val="00CE5AD2"/>
    <w:rsid w:val="00D0037B"/>
    <w:rsid w:val="00D052A0"/>
    <w:rsid w:val="00D06237"/>
    <w:rsid w:val="00D1290D"/>
    <w:rsid w:val="00D24D17"/>
    <w:rsid w:val="00D35EA4"/>
    <w:rsid w:val="00D41B5B"/>
    <w:rsid w:val="00D4370B"/>
    <w:rsid w:val="00D54901"/>
    <w:rsid w:val="00D60193"/>
    <w:rsid w:val="00D60228"/>
    <w:rsid w:val="00D61751"/>
    <w:rsid w:val="00D624B6"/>
    <w:rsid w:val="00D71333"/>
    <w:rsid w:val="00D87148"/>
    <w:rsid w:val="00D90AF9"/>
    <w:rsid w:val="00DA346C"/>
    <w:rsid w:val="00DB03D9"/>
    <w:rsid w:val="00DB3074"/>
    <w:rsid w:val="00DC0592"/>
    <w:rsid w:val="00DC5558"/>
    <w:rsid w:val="00DD14BF"/>
    <w:rsid w:val="00DD6144"/>
    <w:rsid w:val="00DE51E4"/>
    <w:rsid w:val="00DF4F71"/>
    <w:rsid w:val="00E06AE5"/>
    <w:rsid w:val="00E11258"/>
    <w:rsid w:val="00E2718E"/>
    <w:rsid w:val="00E46A73"/>
    <w:rsid w:val="00E5234E"/>
    <w:rsid w:val="00E57B10"/>
    <w:rsid w:val="00E66E1A"/>
    <w:rsid w:val="00E73B34"/>
    <w:rsid w:val="00E77545"/>
    <w:rsid w:val="00E86185"/>
    <w:rsid w:val="00E91AE6"/>
    <w:rsid w:val="00EA33FE"/>
    <w:rsid w:val="00EA37CC"/>
    <w:rsid w:val="00EC2B59"/>
    <w:rsid w:val="00ED0621"/>
    <w:rsid w:val="00ED51AF"/>
    <w:rsid w:val="00EE13D5"/>
    <w:rsid w:val="00EE1FC2"/>
    <w:rsid w:val="00EE245C"/>
    <w:rsid w:val="00EE7AF8"/>
    <w:rsid w:val="00EF638B"/>
    <w:rsid w:val="00F119FA"/>
    <w:rsid w:val="00F14F4A"/>
    <w:rsid w:val="00F27B7B"/>
    <w:rsid w:val="00F27F18"/>
    <w:rsid w:val="00F346EB"/>
    <w:rsid w:val="00F43357"/>
    <w:rsid w:val="00F567D3"/>
    <w:rsid w:val="00F72129"/>
    <w:rsid w:val="00FD50CD"/>
    <w:rsid w:val="00FE4C94"/>
    <w:rsid w:val="00FF5E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BECE62-CB65-4467-AC46-E5BD19189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4C571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4C57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4C571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30ED8"/>
    <w:pPr>
      <w:ind w:left="720"/>
      <w:contextualSpacing/>
    </w:pPr>
  </w:style>
  <w:style w:type="character" w:styleId="Lienhypertexte">
    <w:name w:val="Hyperlink"/>
    <w:basedOn w:val="Policepardfaut"/>
    <w:uiPriority w:val="99"/>
    <w:unhideWhenUsed/>
    <w:rsid w:val="00F27F18"/>
    <w:rPr>
      <w:color w:val="0000FF" w:themeColor="hyperlink"/>
      <w:u w:val="single"/>
    </w:rPr>
  </w:style>
  <w:style w:type="character" w:customStyle="1" w:styleId="Titre1Car">
    <w:name w:val="Titre 1 Car"/>
    <w:basedOn w:val="Policepardfaut"/>
    <w:link w:val="Titre1"/>
    <w:uiPriority w:val="9"/>
    <w:rsid w:val="004C5711"/>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4C5711"/>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4C5711"/>
    <w:rPr>
      <w:rFonts w:asciiTheme="majorHAnsi" w:eastAsiaTheme="majorEastAsia" w:hAnsiTheme="majorHAnsi" w:cstheme="majorBidi"/>
      <w:color w:val="243F60" w:themeColor="accent1" w:themeShade="7F"/>
      <w:sz w:val="24"/>
      <w:szCs w:val="24"/>
    </w:rPr>
  </w:style>
  <w:style w:type="paragraph" w:styleId="TM1">
    <w:name w:val="toc 1"/>
    <w:basedOn w:val="Normal"/>
    <w:next w:val="Normal"/>
    <w:autoRedefine/>
    <w:uiPriority w:val="39"/>
    <w:unhideWhenUsed/>
    <w:rsid w:val="004C5711"/>
    <w:pPr>
      <w:spacing w:after="100"/>
    </w:pPr>
  </w:style>
  <w:style w:type="paragraph" w:styleId="TM2">
    <w:name w:val="toc 2"/>
    <w:basedOn w:val="Normal"/>
    <w:next w:val="Normal"/>
    <w:autoRedefine/>
    <w:uiPriority w:val="39"/>
    <w:unhideWhenUsed/>
    <w:rsid w:val="008238B6"/>
    <w:pPr>
      <w:tabs>
        <w:tab w:val="left" w:pos="880"/>
        <w:tab w:val="right" w:leader="dot" w:pos="9016"/>
      </w:tabs>
      <w:spacing w:after="100" w:line="240" w:lineRule="auto"/>
      <w:ind w:left="220"/>
    </w:pPr>
  </w:style>
  <w:style w:type="paragraph" w:styleId="TM3">
    <w:name w:val="toc 3"/>
    <w:basedOn w:val="Normal"/>
    <w:next w:val="Normal"/>
    <w:autoRedefine/>
    <w:uiPriority w:val="39"/>
    <w:unhideWhenUsed/>
    <w:rsid w:val="004C5711"/>
    <w:pPr>
      <w:spacing w:after="100"/>
      <w:ind w:left="440"/>
    </w:pPr>
  </w:style>
  <w:style w:type="paragraph" w:styleId="En-tte">
    <w:name w:val="header"/>
    <w:basedOn w:val="Normal"/>
    <w:link w:val="En-tteCar"/>
    <w:uiPriority w:val="99"/>
    <w:unhideWhenUsed/>
    <w:rsid w:val="001B2A60"/>
    <w:pPr>
      <w:tabs>
        <w:tab w:val="center" w:pos="4513"/>
        <w:tab w:val="right" w:pos="9026"/>
      </w:tabs>
      <w:spacing w:after="0" w:line="240" w:lineRule="auto"/>
    </w:pPr>
  </w:style>
  <w:style w:type="character" w:customStyle="1" w:styleId="En-tteCar">
    <w:name w:val="En-tête Car"/>
    <w:basedOn w:val="Policepardfaut"/>
    <w:link w:val="En-tte"/>
    <w:uiPriority w:val="99"/>
    <w:rsid w:val="001B2A60"/>
  </w:style>
  <w:style w:type="paragraph" w:styleId="Pieddepage">
    <w:name w:val="footer"/>
    <w:basedOn w:val="Normal"/>
    <w:link w:val="PieddepageCar"/>
    <w:uiPriority w:val="99"/>
    <w:unhideWhenUsed/>
    <w:rsid w:val="001B2A60"/>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1B2A60"/>
  </w:style>
  <w:style w:type="paragraph" w:styleId="Lgende">
    <w:name w:val="caption"/>
    <w:basedOn w:val="Normal"/>
    <w:next w:val="Normal"/>
    <w:qFormat/>
    <w:rsid w:val="003A4BB3"/>
    <w:pPr>
      <w:widowControl w:val="0"/>
      <w:spacing w:before="120" w:after="120" w:line="240" w:lineRule="auto"/>
    </w:pPr>
    <w:rPr>
      <w:rFonts w:ascii="News Gothic" w:eastAsia="Times New Roman" w:hAnsi="News Gothic" w:cs="Times New Roman"/>
      <w:i/>
      <w:snapToGrid w:val="0"/>
      <w:sz w:val="16"/>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ao.org/docrep/u8719f/u8719f04.htm"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C0329-D9DE-4439-9B48-CF129FC4A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12</Pages>
  <Words>4414</Words>
  <Characters>24277</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ousmane</dc:creator>
  <cp:lastModifiedBy>Windows User</cp:lastModifiedBy>
  <cp:revision>303</cp:revision>
  <dcterms:created xsi:type="dcterms:W3CDTF">2018-01-17T09:52:00Z</dcterms:created>
  <dcterms:modified xsi:type="dcterms:W3CDTF">2018-02-09T10:01:00Z</dcterms:modified>
</cp:coreProperties>
</file>